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ayout w:type="fixed"/>
        <w:tblLook w:val="04A0" w:firstRow="1" w:lastRow="0" w:firstColumn="1" w:lastColumn="0" w:noHBand="0" w:noVBand="1"/>
      </w:tblPr>
      <w:tblGrid>
        <w:gridCol w:w="750"/>
        <w:gridCol w:w="12"/>
        <w:gridCol w:w="1166"/>
        <w:gridCol w:w="1328"/>
        <w:gridCol w:w="7229"/>
        <w:gridCol w:w="3509"/>
      </w:tblGrid>
      <w:tr w:rsidR="00C2523C" w:rsidRPr="00C2523C" w14:paraId="298C84E7" w14:textId="77777777" w:rsidTr="002F0E46">
        <w:trPr>
          <w:trHeight w:val="425"/>
        </w:trPr>
        <w:tc>
          <w:tcPr>
            <w:tcW w:w="762" w:type="dxa"/>
            <w:gridSpan w:val="2"/>
          </w:tcPr>
          <w:p w14:paraId="178BC78E" w14:textId="0655A8C9" w:rsidR="00EF641D" w:rsidRPr="00C2523C" w:rsidRDefault="004C0C19" w:rsidP="000F12B9">
            <w:pPr>
              <w:rPr>
                <w:rFonts w:cstheme="minorHAnsi"/>
                <w:sz w:val="24"/>
                <w:szCs w:val="24"/>
              </w:rPr>
            </w:pPr>
            <w:bookmarkStart w:id="0" w:name="_GoBack"/>
            <w:bookmarkEnd w:id="0"/>
            <w:r>
              <w:rPr>
                <w:rFonts w:cstheme="minorHAnsi"/>
                <w:sz w:val="24"/>
                <w:szCs w:val="24"/>
              </w:rPr>
              <w:t>F</w:t>
            </w:r>
            <w:r w:rsidR="00EF641D" w:rsidRPr="00C2523C">
              <w:rPr>
                <w:rFonts w:cstheme="minorHAnsi"/>
                <w:sz w:val="24"/>
                <w:szCs w:val="24"/>
              </w:rPr>
              <w:t>Lp.</w:t>
            </w:r>
          </w:p>
        </w:tc>
        <w:tc>
          <w:tcPr>
            <w:tcW w:w="1166" w:type="dxa"/>
          </w:tcPr>
          <w:p w14:paraId="687355F2" w14:textId="3E857F06" w:rsidR="00EF641D" w:rsidRPr="00C2523C" w:rsidRDefault="00EF641D" w:rsidP="00E8209D">
            <w:pPr>
              <w:rPr>
                <w:rFonts w:cstheme="minorHAnsi"/>
                <w:sz w:val="24"/>
                <w:szCs w:val="24"/>
              </w:rPr>
            </w:pPr>
            <w:r w:rsidRPr="00C2523C">
              <w:rPr>
                <w:rFonts w:cstheme="minorHAnsi"/>
                <w:sz w:val="24"/>
                <w:szCs w:val="24"/>
              </w:rPr>
              <w:t>Instytucja</w:t>
            </w:r>
          </w:p>
        </w:tc>
        <w:tc>
          <w:tcPr>
            <w:tcW w:w="1328" w:type="dxa"/>
          </w:tcPr>
          <w:p w14:paraId="3E2554CA" w14:textId="038CE17D" w:rsidR="00EF641D" w:rsidRPr="00C2523C" w:rsidRDefault="00EF641D" w:rsidP="00E8209D">
            <w:pPr>
              <w:rPr>
                <w:rFonts w:cstheme="minorHAnsi"/>
                <w:sz w:val="24"/>
                <w:szCs w:val="24"/>
              </w:rPr>
            </w:pPr>
            <w:r w:rsidRPr="00C2523C">
              <w:rPr>
                <w:rFonts w:cstheme="minorHAnsi"/>
                <w:sz w:val="24"/>
                <w:szCs w:val="24"/>
              </w:rPr>
              <w:t>Jednostka redakcyjna</w:t>
            </w:r>
          </w:p>
        </w:tc>
        <w:tc>
          <w:tcPr>
            <w:tcW w:w="7229" w:type="dxa"/>
          </w:tcPr>
          <w:p w14:paraId="2BB50A12" w14:textId="534FF98C" w:rsidR="00EF641D" w:rsidRPr="00C2523C" w:rsidRDefault="00EF641D" w:rsidP="00E8209D">
            <w:pPr>
              <w:rPr>
                <w:rFonts w:cstheme="minorHAnsi"/>
                <w:sz w:val="24"/>
                <w:szCs w:val="24"/>
              </w:rPr>
            </w:pPr>
            <w:r w:rsidRPr="00C2523C">
              <w:rPr>
                <w:rFonts w:cstheme="minorHAnsi"/>
                <w:sz w:val="24"/>
                <w:szCs w:val="24"/>
              </w:rPr>
              <w:t>Treść uwagi</w:t>
            </w:r>
          </w:p>
        </w:tc>
        <w:tc>
          <w:tcPr>
            <w:tcW w:w="3509" w:type="dxa"/>
          </w:tcPr>
          <w:p w14:paraId="5B501041" w14:textId="1F71ECB4" w:rsidR="00EF641D" w:rsidRPr="00C2523C" w:rsidRDefault="00EF641D" w:rsidP="00E8209D">
            <w:pPr>
              <w:rPr>
                <w:rFonts w:cstheme="minorHAnsi"/>
                <w:sz w:val="24"/>
                <w:szCs w:val="24"/>
              </w:rPr>
            </w:pPr>
            <w:r w:rsidRPr="00C2523C">
              <w:rPr>
                <w:rFonts w:cstheme="minorHAnsi"/>
                <w:sz w:val="24"/>
                <w:szCs w:val="24"/>
              </w:rPr>
              <w:t>Odniesienie</w:t>
            </w:r>
          </w:p>
        </w:tc>
      </w:tr>
      <w:tr w:rsidR="00C2523C" w:rsidRPr="00C2523C" w14:paraId="470DAB67" w14:textId="77777777" w:rsidTr="002F0E46">
        <w:tc>
          <w:tcPr>
            <w:tcW w:w="762" w:type="dxa"/>
            <w:gridSpan w:val="2"/>
          </w:tcPr>
          <w:p w14:paraId="5B7CF9CA" w14:textId="77777777" w:rsidR="00193D20" w:rsidRPr="00C2523C" w:rsidRDefault="00193D20" w:rsidP="00D45C28">
            <w:pPr>
              <w:pStyle w:val="Akapitzlist"/>
              <w:numPr>
                <w:ilvl w:val="0"/>
                <w:numId w:val="9"/>
              </w:numPr>
              <w:spacing w:line="240" w:lineRule="auto"/>
              <w:ind w:left="567"/>
              <w:rPr>
                <w:rFonts w:asciiTheme="minorHAnsi" w:hAnsiTheme="minorHAnsi" w:cstheme="minorHAnsi"/>
                <w:sz w:val="24"/>
                <w:szCs w:val="24"/>
              </w:rPr>
            </w:pPr>
          </w:p>
        </w:tc>
        <w:tc>
          <w:tcPr>
            <w:tcW w:w="1166" w:type="dxa"/>
          </w:tcPr>
          <w:p w14:paraId="6487B14B" w14:textId="710F0351" w:rsidR="00193D20" w:rsidRPr="00C2523C" w:rsidRDefault="00193D20" w:rsidP="00277373">
            <w:pPr>
              <w:rPr>
                <w:rFonts w:cstheme="minorHAnsi"/>
                <w:sz w:val="24"/>
                <w:szCs w:val="24"/>
              </w:rPr>
            </w:pPr>
            <w:r w:rsidRPr="00C2523C">
              <w:rPr>
                <w:rFonts w:cstheme="minorHAnsi"/>
                <w:sz w:val="24"/>
                <w:szCs w:val="24"/>
              </w:rPr>
              <w:t>MSUE</w:t>
            </w:r>
          </w:p>
        </w:tc>
        <w:tc>
          <w:tcPr>
            <w:tcW w:w="1328" w:type="dxa"/>
          </w:tcPr>
          <w:p w14:paraId="44A96E33" w14:textId="04AC7159" w:rsidR="00193D20" w:rsidRPr="00C2523C" w:rsidRDefault="00193D20" w:rsidP="00277373">
            <w:pPr>
              <w:rPr>
                <w:rFonts w:cstheme="minorHAnsi"/>
                <w:sz w:val="24"/>
                <w:szCs w:val="24"/>
              </w:rPr>
            </w:pPr>
            <w:r w:rsidRPr="00C2523C">
              <w:rPr>
                <w:rFonts w:cstheme="minorHAnsi"/>
                <w:sz w:val="24"/>
                <w:szCs w:val="24"/>
              </w:rPr>
              <w:t>Uwaga ogólna</w:t>
            </w:r>
          </w:p>
        </w:tc>
        <w:tc>
          <w:tcPr>
            <w:tcW w:w="7229" w:type="dxa"/>
          </w:tcPr>
          <w:p w14:paraId="30C0D7DA" w14:textId="1A3CC75F" w:rsidR="00403153" w:rsidRPr="00C2523C" w:rsidRDefault="00193D20" w:rsidP="00BF6664">
            <w:pPr>
              <w:pStyle w:val="Akapitzlist"/>
              <w:numPr>
                <w:ilvl w:val="0"/>
                <w:numId w:val="11"/>
              </w:numPr>
              <w:spacing w:after="120" w:line="240" w:lineRule="auto"/>
              <w:ind w:left="0" w:firstLine="0"/>
              <w:contextualSpacing w:val="0"/>
              <w:jc w:val="both"/>
              <w:rPr>
                <w:rFonts w:eastAsia="Times New Roman"/>
                <w:sz w:val="24"/>
                <w:szCs w:val="24"/>
              </w:rPr>
            </w:pPr>
            <w:r w:rsidRPr="00C2523C">
              <w:rPr>
                <w:rFonts w:eastAsia="Times New Roman"/>
                <w:sz w:val="24"/>
                <w:szCs w:val="24"/>
              </w:rPr>
              <w:t>Projektowana ustawa nakłada określone obowiązki na przedsiębiorców telekomunikacyjnych i dostawców poczty elektronicznej (art. 3 ust. 2</w:t>
            </w:r>
            <w:r w:rsidR="00BF72A3" w:rsidRPr="00C2523C">
              <w:rPr>
                <w:rFonts w:eastAsia="Times New Roman"/>
                <w:sz w:val="24"/>
                <w:szCs w:val="24"/>
              </w:rPr>
              <w:t xml:space="preserve"> </w:t>
            </w:r>
            <w:r w:rsidRPr="00C2523C">
              <w:rPr>
                <w:rFonts w:eastAsia="Times New Roman"/>
                <w:sz w:val="24"/>
                <w:szCs w:val="24"/>
              </w:rPr>
              <w:t xml:space="preserve">6, art. 8, art., 12, art. 13 i art. 21 projektu). Mogą one w mojej opinii zostać uznane za zasady dotyczące usług w rozumieniu art. 1 ust. 1 lit. e) </w:t>
            </w:r>
            <w:r w:rsidRPr="00C2523C">
              <w:rPr>
                <w:rFonts w:eastAsia="Times New Roman"/>
                <w:i/>
                <w:sz w:val="24"/>
                <w:szCs w:val="24"/>
              </w:rPr>
              <w:t>dyrektywy (UE) 2015/1535 Parlamentu Europejskiego i Rady z dnia 9 września 2015 r. ustanawiającej procedurę udzielania informacji w dziedzinie przepisów technicznych oraz zasad dotyczących usług społeczeństwa informacyjnego</w:t>
            </w:r>
            <w:r w:rsidRPr="00C2523C">
              <w:rPr>
                <w:rFonts w:eastAsia="Times New Roman"/>
                <w:sz w:val="24"/>
                <w:szCs w:val="24"/>
              </w:rPr>
              <w:t xml:space="preserve">, których projekt podlega obowiązkowi notyfikacji zgodnie z procedurą określoną w tej dyrektywie. </w:t>
            </w:r>
          </w:p>
          <w:p w14:paraId="66850F17" w14:textId="71258C07" w:rsidR="00193D20" w:rsidRPr="00C2523C" w:rsidRDefault="00193D20" w:rsidP="002F0E46">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 xml:space="preserve">Na mocy art. 1 ust. 3 dyrektywy 2015/1535 nie ma ona wprawdzie zastosowania do zasad odnoszących się do zagadnień objętych przepisami Unii w dziedzinie usług telekomunikacyjnych, jak jednak wskazano w uzasadnieniu projektu, materia regulowana projektowaną ustawą nie jest objęta przepisami </w:t>
            </w:r>
            <w:r w:rsidRPr="00C2523C">
              <w:rPr>
                <w:rFonts w:eastAsia="Times New Roman"/>
                <w:i/>
                <w:sz w:val="24"/>
                <w:szCs w:val="24"/>
              </w:rPr>
              <w:t>dyrektywy Parlamentu Europejskiego i Rady (UE) 2018/1972 z dnia 11 grudnia 2018 r. ustanawiającej Europejski kodeks łączności elektronicznej</w:t>
            </w:r>
            <w:r w:rsidRPr="00C2523C">
              <w:rPr>
                <w:rFonts w:eastAsia="Times New Roman"/>
                <w:sz w:val="24"/>
                <w:szCs w:val="24"/>
              </w:rPr>
              <w:t>. Przywołane wyłączenie nie będzie miało zatem zastosowania w omawianym przypadku.</w:t>
            </w:r>
          </w:p>
          <w:p w14:paraId="4746ADAA" w14:textId="28B9469A" w:rsidR="00193D20" w:rsidRPr="00C2523C" w:rsidRDefault="00193D20" w:rsidP="00193D20">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Decyzję o konieczności notyfikacji podejmuje projektodawca, w przypadku wątpliwości możliwe jest zasięgnięcie w tej kwestii opinii ministra właściwego do spraw gospodarki, który pełni funkcję koordynatora krajowego systemu notyfikacji norm i aktów prawnych.</w:t>
            </w:r>
          </w:p>
          <w:p w14:paraId="7D8120C1" w14:textId="77777777" w:rsidR="00193D20" w:rsidRPr="00C2523C" w:rsidRDefault="00193D20" w:rsidP="00193D20">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 xml:space="preserve">Na marginesie powyższej uwagi pragnę dodatkowo zauważyć, że porozumienie pomiędzy Prezesem Urzędu Komunikacji Elektronicznej, a operatorami, o którym mowa w art. 10 ust. 1 projektu, może z kolei zostać uznane za przepis techniczny de facto zdefiniowany w art. 1 ust. 1 </w:t>
            </w:r>
            <w:r w:rsidRPr="00C2523C">
              <w:rPr>
                <w:rFonts w:eastAsia="Times New Roman"/>
                <w:sz w:val="24"/>
                <w:szCs w:val="24"/>
              </w:rPr>
              <w:lastRenderedPageBreak/>
              <w:t>lit. f) ppkt (ii) dyrektywy 2015/1535. Jego projekt powinien zatem również zostać notyfikowany Komisji Europejskiej.</w:t>
            </w:r>
          </w:p>
          <w:p w14:paraId="32F58035" w14:textId="77777777" w:rsidR="00193D20" w:rsidRPr="00C2523C" w:rsidRDefault="00193D20" w:rsidP="00BF24F1">
            <w:pPr>
              <w:autoSpaceDE w:val="0"/>
              <w:autoSpaceDN w:val="0"/>
              <w:adjustRightInd w:val="0"/>
              <w:rPr>
                <w:rFonts w:cstheme="minorHAnsi"/>
                <w:sz w:val="24"/>
                <w:szCs w:val="24"/>
              </w:rPr>
            </w:pPr>
          </w:p>
        </w:tc>
        <w:tc>
          <w:tcPr>
            <w:tcW w:w="3509" w:type="dxa"/>
          </w:tcPr>
          <w:p w14:paraId="26218AB0" w14:textId="519C99F8" w:rsidR="00403153" w:rsidRPr="00C2523C" w:rsidRDefault="00403153">
            <w:pPr>
              <w:rPr>
                <w:rFonts w:cstheme="minorHAnsi"/>
                <w:b/>
                <w:sz w:val="24"/>
                <w:szCs w:val="24"/>
              </w:rPr>
            </w:pPr>
            <w:r w:rsidRPr="00C2523C">
              <w:rPr>
                <w:rFonts w:cstheme="minorHAnsi"/>
                <w:b/>
                <w:sz w:val="24"/>
                <w:szCs w:val="24"/>
              </w:rPr>
              <w:lastRenderedPageBreak/>
              <w:t>Uwaga uwzględniona</w:t>
            </w:r>
          </w:p>
          <w:p w14:paraId="0F443764" w14:textId="6B68E556" w:rsidR="00193D20" w:rsidRPr="00C2523C" w:rsidRDefault="00403153">
            <w:pPr>
              <w:rPr>
                <w:rFonts w:cstheme="minorHAnsi"/>
                <w:sz w:val="24"/>
                <w:szCs w:val="24"/>
                <w:highlight w:val="yellow"/>
              </w:rPr>
            </w:pPr>
            <w:r w:rsidRPr="00C2523C">
              <w:rPr>
                <w:rFonts w:cstheme="minorHAnsi"/>
                <w:sz w:val="24"/>
                <w:szCs w:val="24"/>
              </w:rPr>
              <w:t>W związku z uwagami zgłoszonymi</w:t>
            </w:r>
            <w:r w:rsidR="00F46B3A" w:rsidRPr="00C2523C">
              <w:rPr>
                <w:rFonts w:cstheme="minorHAnsi"/>
                <w:sz w:val="24"/>
                <w:szCs w:val="24"/>
              </w:rPr>
              <w:t xml:space="preserve"> w ramach uzgodnień</w:t>
            </w:r>
            <w:r w:rsidRPr="00C2523C">
              <w:rPr>
                <w:rFonts w:cstheme="minorHAnsi"/>
                <w:sz w:val="24"/>
                <w:szCs w:val="24"/>
              </w:rPr>
              <w:t xml:space="preserve">, aby holistycznie adresować zagadnienia związane z nadużyciami, do projektu ustawy zostaną przeniesione niektóre regulacje </w:t>
            </w:r>
            <w:r w:rsidR="00EF167D" w:rsidRPr="00C2523C">
              <w:rPr>
                <w:rFonts w:cstheme="minorHAnsi"/>
                <w:sz w:val="24"/>
                <w:szCs w:val="24"/>
              </w:rPr>
              <w:t>projektu ustawy -</w:t>
            </w:r>
            <w:r w:rsidRPr="00C2523C">
              <w:rPr>
                <w:rFonts w:cstheme="minorHAnsi"/>
                <w:sz w:val="24"/>
                <w:szCs w:val="24"/>
              </w:rPr>
              <w:t xml:space="preserve"> Praw</w:t>
            </w:r>
            <w:r w:rsidR="00EF167D" w:rsidRPr="00C2523C">
              <w:rPr>
                <w:rFonts w:cstheme="minorHAnsi"/>
                <w:sz w:val="24"/>
                <w:szCs w:val="24"/>
              </w:rPr>
              <w:t>o</w:t>
            </w:r>
            <w:r w:rsidRPr="00C2523C">
              <w:rPr>
                <w:rFonts w:cstheme="minorHAnsi"/>
                <w:sz w:val="24"/>
                <w:szCs w:val="24"/>
              </w:rPr>
              <w:t xml:space="preserve"> komunikacji elektronicznej, a więc również wdrożenie art. 97 ust. 2 dyrektywy Parlamentu Europejskiego i Rady (UE) 2018/1972 z dnia 11 grudnia 2018 r. ustanawiającej Europejski kodeks łączności elektronicznej. W związku z powyższym regulacje zawarte w projekcie ustawy o zwalczaniu nadużyć w</w:t>
            </w:r>
            <w:r w:rsidR="00EF167D" w:rsidRPr="00C2523C">
              <w:rPr>
                <w:rFonts w:cstheme="minorHAnsi"/>
                <w:sz w:val="24"/>
                <w:szCs w:val="24"/>
              </w:rPr>
              <w:t> </w:t>
            </w:r>
            <w:r w:rsidRPr="00C2523C">
              <w:rPr>
                <w:rFonts w:cstheme="minorHAnsi"/>
                <w:sz w:val="24"/>
                <w:szCs w:val="24"/>
              </w:rPr>
              <w:t>komunikacji elektronicznej</w:t>
            </w:r>
            <w:r w:rsidR="00FD7DAE" w:rsidRPr="00C2523C">
              <w:rPr>
                <w:rFonts w:cstheme="minorHAnsi"/>
                <w:sz w:val="24"/>
                <w:szCs w:val="24"/>
              </w:rPr>
              <w:t xml:space="preserve"> (</w:t>
            </w:r>
            <w:r w:rsidRPr="00C2523C">
              <w:rPr>
                <w:rFonts w:cstheme="minorHAnsi"/>
                <w:sz w:val="24"/>
                <w:szCs w:val="24"/>
              </w:rPr>
              <w:t>włącznie z</w:t>
            </w:r>
            <w:r w:rsidR="00FD7DAE" w:rsidRPr="00C2523C">
              <w:rPr>
                <w:rFonts w:cstheme="minorHAnsi"/>
                <w:sz w:val="24"/>
                <w:szCs w:val="24"/>
              </w:rPr>
              <w:t xml:space="preserve"> instytucją</w:t>
            </w:r>
            <w:r w:rsidRPr="00C2523C">
              <w:rPr>
                <w:rFonts w:cstheme="minorHAnsi"/>
                <w:sz w:val="24"/>
                <w:szCs w:val="24"/>
              </w:rPr>
              <w:t xml:space="preserve"> porozumieniem</w:t>
            </w:r>
            <w:r w:rsidR="00FD7DAE" w:rsidRPr="00C2523C">
              <w:rPr>
                <w:rFonts w:cstheme="minorHAnsi"/>
                <w:sz w:val="24"/>
                <w:szCs w:val="24"/>
              </w:rPr>
              <w:t xml:space="preserve"> jako realizacją postanowień ustawy)</w:t>
            </w:r>
            <w:r w:rsidR="00962B9B" w:rsidRPr="00C2523C">
              <w:rPr>
                <w:rFonts w:cstheme="minorHAnsi"/>
                <w:sz w:val="24"/>
                <w:szCs w:val="24"/>
              </w:rPr>
              <w:t xml:space="preserve"> skorzysta z</w:t>
            </w:r>
            <w:r w:rsidR="00EF167D" w:rsidRPr="00C2523C">
              <w:rPr>
                <w:rFonts w:cstheme="minorHAnsi"/>
                <w:sz w:val="24"/>
                <w:szCs w:val="24"/>
              </w:rPr>
              <w:t> </w:t>
            </w:r>
            <w:r w:rsidR="00962B9B" w:rsidRPr="00C2523C">
              <w:rPr>
                <w:rFonts w:cstheme="minorHAnsi"/>
                <w:sz w:val="24"/>
                <w:szCs w:val="24"/>
              </w:rPr>
              <w:t xml:space="preserve">wyłączenia </w:t>
            </w:r>
            <w:r w:rsidR="00962B9B" w:rsidRPr="00C2523C">
              <w:rPr>
                <w:rFonts w:eastAsia="Times New Roman"/>
                <w:sz w:val="24"/>
                <w:szCs w:val="24"/>
              </w:rPr>
              <w:t>na mocy art. 1 ust. 3 dyrektywy 2015/1535</w:t>
            </w:r>
            <w:r w:rsidR="00FD7DAE" w:rsidRPr="00C2523C">
              <w:rPr>
                <w:rFonts w:eastAsia="Times New Roman"/>
                <w:sz w:val="24"/>
                <w:szCs w:val="24"/>
              </w:rPr>
              <w:t>.</w:t>
            </w:r>
          </w:p>
        </w:tc>
      </w:tr>
      <w:tr w:rsidR="00C2523C" w:rsidRPr="00C2523C" w14:paraId="593E1CC4" w14:textId="77777777" w:rsidTr="002F0E46">
        <w:tc>
          <w:tcPr>
            <w:tcW w:w="762" w:type="dxa"/>
            <w:gridSpan w:val="2"/>
          </w:tcPr>
          <w:p w14:paraId="375056D2" w14:textId="77777777" w:rsidR="00DC3FD6" w:rsidRPr="00C2523C" w:rsidRDefault="00DC3FD6"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201F9646" w14:textId="74211F81" w:rsidR="00DC3FD6" w:rsidRPr="00C2523C" w:rsidRDefault="00DC3FD6" w:rsidP="00277373">
            <w:pPr>
              <w:rPr>
                <w:rFonts w:cstheme="minorHAnsi"/>
                <w:sz w:val="24"/>
                <w:szCs w:val="24"/>
              </w:rPr>
            </w:pPr>
            <w:r w:rsidRPr="00C2523C">
              <w:rPr>
                <w:rFonts w:cstheme="minorHAnsi"/>
                <w:sz w:val="24"/>
                <w:szCs w:val="24"/>
              </w:rPr>
              <w:t xml:space="preserve">MKSS </w:t>
            </w:r>
          </w:p>
        </w:tc>
        <w:tc>
          <w:tcPr>
            <w:tcW w:w="1328" w:type="dxa"/>
          </w:tcPr>
          <w:p w14:paraId="76D4C90D" w14:textId="6CA7B944" w:rsidR="00DC3FD6" w:rsidRPr="00C2523C" w:rsidRDefault="00DC3FD6" w:rsidP="00277373">
            <w:pPr>
              <w:rPr>
                <w:rFonts w:cstheme="minorHAnsi"/>
                <w:sz w:val="24"/>
                <w:szCs w:val="24"/>
              </w:rPr>
            </w:pPr>
            <w:r w:rsidRPr="00C2523C">
              <w:rPr>
                <w:rFonts w:cstheme="minorHAnsi"/>
                <w:sz w:val="24"/>
                <w:szCs w:val="24"/>
              </w:rPr>
              <w:t xml:space="preserve">Uwaga Ogólna </w:t>
            </w:r>
          </w:p>
        </w:tc>
        <w:tc>
          <w:tcPr>
            <w:tcW w:w="7229" w:type="dxa"/>
          </w:tcPr>
          <w:p w14:paraId="797B5BC9" w14:textId="77777777" w:rsidR="00DC3FD6" w:rsidRPr="00C2523C" w:rsidRDefault="00DC3FD6" w:rsidP="0048678E">
            <w:pPr>
              <w:pStyle w:val="Teksttreci0"/>
              <w:shd w:val="clear" w:color="auto" w:fill="auto"/>
              <w:spacing w:line="276" w:lineRule="auto"/>
              <w:ind w:firstLine="0"/>
              <w:rPr>
                <w:rFonts w:ascii="Calibri" w:hAnsi="Calibri" w:cs="Calibri"/>
              </w:rPr>
            </w:pPr>
            <w:r w:rsidRPr="00C2523C">
              <w:rPr>
                <w:rFonts w:ascii="Calibri" w:hAnsi="Calibri" w:cs="Calibri"/>
                <w:sz w:val="24"/>
                <w:szCs w:val="24"/>
                <w:lang w:bidi="pl-PL"/>
              </w:rPr>
              <w:t>W tym miejscu należy zwrócić uwagę, że w ramach realizacji ustawowych zadań służby specjalne wykonują czynności operacyjno-rozpoznawcze, które mogą polegać na podejmowaniu działań określonych w art. 3 ust. 1 projektowanej ustawy, penalizowanych w projektowanych art. 15 ust. 1 oraz art. 16 ust. 1 tej ustawy. Jednocześnie, mając na uwadze fakt, że czynności te są realizowane w celu wykonywania zadań ustawowych związanych z rozpoznawaniem zagrożeń dla bezpieczeństwa państwa albo wykrywaniem przestępstw i ścigania ich sprawców, celem uniknięcia ewentualnych wątpliwości interpretacyjnych, zasadne jest ustawowe wyłączenie osoby udzielającej pomocy funkcjonariuszowi oraz samego funkcjonariusza tych służb spod zakresu ww. odpowiedzialności karnej.</w:t>
            </w:r>
          </w:p>
          <w:p w14:paraId="5C31FED1" w14:textId="77777777" w:rsidR="00DC3FD6" w:rsidRPr="00C2523C" w:rsidRDefault="00DC3FD6" w:rsidP="00BF24F1">
            <w:pPr>
              <w:autoSpaceDE w:val="0"/>
              <w:autoSpaceDN w:val="0"/>
              <w:adjustRightInd w:val="0"/>
              <w:rPr>
                <w:rFonts w:cstheme="minorHAnsi"/>
                <w:sz w:val="24"/>
                <w:szCs w:val="24"/>
              </w:rPr>
            </w:pPr>
          </w:p>
        </w:tc>
        <w:tc>
          <w:tcPr>
            <w:tcW w:w="3509" w:type="dxa"/>
            <w:shd w:val="clear" w:color="auto" w:fill="auto"/>
          </w:tcPr>
          <w:p w14:paraId="077BF908" w14:textId="5056AA1C" w:rsidR="00DC3FD6" w:rsidRPr="00C2523C" w:rsidRDefault="00384BB8" w:rsidP="032CF98C">
            <w:pPr>
              <w:rPr>
                <w:b/>
                <w:bCs/>
                <w:sz w:val="24"/>
                <w:szCs w:val="24"/>
              </w:rPr>
            </w:pPr>
            <w:r w:rsidRPr="00C2523C">
              <w:rPr>
                <w:b/>
                <w:bCs/>
                <w:sz w:val="24"/>
                <w:szCs w:val="24"/>
              </w:rPr>
              <w:t>Uwaga wyjaśniona</w:t>
            </w:r>
            <w:r w:rsidR="65C1F17E" w:rsidRPr="00C2523C">
              <w:rPr>
                <w:b/>
                <w:bCs/>
                <w:sz w:val="24"/>
                <w:szCs w:val="24"/>
              </w:rPr>
              <w:t xml:space="preserve"> </w:t>
            </w:r>
          </w:p>
          <w:p w14:paraId="050984F3" w14:textId="0B259964" w:rsidR="00DC3FD6" w:rsidRPr="00C2523C" w:rsidRDefault="65C1F17E" w:rsidP="032CF98C">
            <w:pPr>
              <w:rPr>
                <w:sz w:val="24"/>
                <w:szCs w:val="24"/>
              </w:rPr>
            </w:pPr>
            <w:r w:rsidRPr="00C2523C">
              <w:rPr>
                <w:sz w:val="24"/>
                <w:szCs w:val="24"/>
              </w:rPr>
              <w:t>Nie jest konieczne uregulowanie tych kwestii w przedmiotowej ustawie. Należy podkreślić, że wszystkie czyny penalizowane w</w:t>
            </w:r>
            <w:r w:rsidR="00EF167D" w:rsidRPr="00C2523C">
              <w:rPr>
                <w:sz w:val="24"/>
                <w:szCs w:val="24"/>
              </w:rPr>
              <w:t> </w:t>
            </w:r>
            <w:r w:rsidRPr="00C2523C">
              <w:rPr>
                <w:sz w:val="24"/>
                <w:szCs w:val="24"/>
              </w:rPr>
              <w:t xml:space="preserve">niniejszej ustawie mają wyraźnie określony cel, co sprawia, że funkcjonariusze służb dokonując ich w ramach swoich obowiązków nie będą karani. Ponadto wszelkie tego typu działania powinny podlegać kontroli sądowej a funkcjonariusze powinni być do nich stosownie upoważnieni. </w:t>
            </w:r>
          </w:p>
        </w:tc>
      </w:tr>
      <w:tr w:rsidR="00C2523C" w:rsidRPr="00C2523C" w14:paraId="09D8B915" w14:textId="77777777" w:rsidTr="002F0E46">
        <w:tc>
          <w:tcPr>
            <w:tcW w:w="762" w:type="dxa"/>
            <w:gridSpan w:val="2"/>
          </w:tcPr>
          <w:p w14:paraId="15BA552A" w14:textId="4B598F14"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2861FB89" w14:textId="1FBA264D"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51FB70FD" w14:textId="5630F8FE" w:rsidR="00BF24F1" w:rsidRPr="00C2523C" w:rsidRDefault="00BF24F1" w:rsidP="00277373">
            <w:pPr>
              <w:rPr>
                <w:rFonts w:cstheme="minorHAnsi"/>
                <w:sz w:val="24"/>
                <w:szCs w:val="24"/>
              </w:rPr>
            </w:pPr>
            <w:r w:rsidRPr="00C2523C">
              <w:rPr>
                <w:rFonts w:cstheme="minorHAnsi"/>
                <w:sz w:val="24"/>
                <w:szCs w:val="24"/>
              </w:rPr>
              <w:t>Uwaga ogólna</w:t>
            </w:r>
          </w:p>
        </w:tc>
        <w:tc>
          <w:tcPr>
            <w:tcW w:w="7229" w:type="dxa"/>
          </w:tcPr>
          <w:p w14:paraId="68E221F2" w14:textId="1424EC3F"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xml:space="preserve">w związku z otrzymanym do uzgodnień międzyresortowych projektem </w:t>
            </w:r>
            <w:r w:rsidRPr="00C2523C">
              <w:rPr>
                <w:rFonts w:cstheme="minorHAnsi"/>
                <w:i/>
                <w:iCs/>
                <w:sz w:val="24"/>
                <w:szCs w:val="24"/>
              </w:rPr>
              <w:t>ustawy</w:t>
            </w:r>
            <w:r w:rsidR="00FB3B85" w:rsidRPr="00C2523C">
              <w:rPr>
                <w:rFonts w:cstheme="minorHAnsi"/>
                <w:i/>
                <w:iCs/>
                <w:sz w:val="24"/>
                <w:szCs w:val="24"/>
              </w:rPr>
              <w:t xml:space="preserve"> </w:t>
            </w:r>
            <w:r w:rsidRPr="00C2523C">
              <w:rPr>
                <w:rFonts w:cstheme="minorHAnsi"/>
                <w:i/>
                <w:iCs/>
                <w:sz w:val="24"/>
                <w:szCs w:val="24"/>
              </w:rPr>
              <w:t xml:space="preserve">o zwalczaniu nadużyć w komunikacji elektronicznej (RD402) </w:t>
            </w:r>
            <w:r w:rsidRPr="00C2523C">
              <w:rPr>
                <w:rFonts w:cstheme="minorHAnsi"/>
                <w:sz w:val="24"/>
                <w:szCs w:val="24"/>
              </w:rPr>
              <w:t>Rządowe Centrum Legislacji na</w:t>
            </w:r>
            <w:r w:rsidR="00FB3B85" w:rsidRPr="00C2523C">
              <w:rPr>
                <w:rFonts w:cstheme="minorHAnsi"/>
                <w:sz w:val="24"/>
                <w:szCs w:val="24"/>
              </w:rPr>
              <w:t xml:space="preserve"> </w:t>
            </w:r>
            <w:r w:rsidRPr="00C2523C">
              <w:rPr>
                <w:rFonts w:cstheme="minorHAnsi"/>
                <w:sz w:val="24"/>
                <w:szCs w:val="24"/>
              </w:rPr>
              <w:t>wstępie uprzejmie informuje, że w przypadku przedmiotowego projektu ustawy wyjaśnienia</w:t>
            </w:r>
            <w:r w:rsidR="00FB3B85" w:rsidRPr="00C2523C">
              <w:rPr>
                <w:rFonts w:cstheme="minorHAnsi"/>
                <w:sz w:val="24"/>
                <w:szCs w:val="24"/>
              </w:rPr>
              <w:t xml:space="preserve"> </w:t>
            </w:r>
            <w:r w:rsidRPr="00C2523C">
              <w:rPr>
                <w:rFonts w:cstheme="minorHAnsi"/>
                <w:sz w:val="24"/>
                <w:szCs w:val="24"/>
              </w:rPr>
              <w:t>wymaga miejsce jakie Projektodawca przewiduje dla projektowanej regulacji w systemie</w:t>
            </w:r>
            <w:r w:rsidR="00FB3B85" w:rsidRPr="00C2523C">
              <w:rPr>
                <w:rFonts w:cstheme="minorHAnsi"/>
                <w:sz w:val="24"/>
                <w:szCs w:val="24"/>
              </w:rPr>
              <w:t xml:space="preserve"> </w:t>
            </w:r>
            <w:r w:rsidRPr="00C2523C">
              <w:rPr>
                <w:rFonts w:cstheme="minorHAnsi"/>
                <w:sz w:val="24"/>
                <w:szCs w:val="24"/>
              </w:rPr>
              <w:t>prawa, a także wzajemne relacje projektowanej regulacji z ustawami regulującymi takie</w:t>
            </w:r>
            <w:r w:rsidR="00FB3B85" w:rsidRPr="00C2523C">
              <w:rPr>
                <w:rFonts w:cstheme="minorHAnsi"/>
                <w:sz w:val="24"/>
                <w:szCs w:val="24"/>
              </w:rPr>
              <w:t xml:space="preserve"> </w:t>
            </w:r>
            <w:r w:rsidRPr="00C2523C">
              <w:rPr>
                <w:rFonts w:cstheme="minorHAnsi"/>
                <w:sz w:val="24"/>
                <w:szCs w:val="24"/>
              </w:rPr>
              <w:t>dziedziny spraw, jakimi są telekomunikacja i usługi świadczone drogą elektroniczną.</w:t>
            </w:r>
          </w:p>
          <w:p w14:paraId="719BC42B" w14:textId="2B4995BE"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Powyższa kwestia wymaga wyjaśnienia, gdyż przedmiotowy projekt swoim zakresem</w:t>
            </w:r>
            <w:r w:rsidR="00FB3B85" w:rsidRPr="00C2523C">
              <w:rPr>
                <w:rFonts w:cstheme="minorHAnsi"/>
                <w:sz w:val="24"/>
                <w:szCs w:val="24"/>
              </w:rPr>
              <w:t xml:space="preserve"> </w:t>
            </w:r>
            <w:r w:rsidRPr="00C2523C">
              <w:rPr>
                <w:rFonts w:cstheme="minorHAnsi"/>
                <w:sz w:val="24"/>
                <w:szCs w:val="24"/>
              </w:rPr>
              <w:t>wkracza w materię regulowaną ustawą z dnia 16 lipca 2004 r. – Prawo telekomunikacyjne</w:t>
            </w:r>
            <w:r w:rsidR="00FB3B85" w:rsidRPr="00C2523C">
              <w:rPr>
                <w:rFonts w:cstheme="minorHAnsi"/>
                <w:sz w:val="24"/>
                <w:szCs w:val="24"/>
              </w:rPr>
              <w:t xml:space="preserve"> </w:t>
            </w:r>
            <w:r w:rsidRPr="00C2523C">
              <w:rPr>
                <w:rFonts w:cstheme="minorHAnsi"/>
                <w:sz w:val="24"/>
                <w:szCs w:val="24"/>
              </w:rPr>
              <w:t>(Dz. U. z 2021 r. poz. 576, z późn. zm.), dalej jako „</w:t>
            </w:r>
            <w:r w:rsidRPr="00C2523C">
              <w:rPr>
                <w:rFonts w:cstheme="minorHAnsi"/>
                <w:i/>
                <w:iCs/>
                <w:sz w:val="24"/>
                <w:szCs w:val="24"/>
              </w:rPr>
              <w:t>ustawa – Prawo telekomunikacyjne</w:t>
            </w:r>
            <w:r w:rsidRPr="00C2523C">
              <w:rPr>
                <w:rFonts w:cstheme="minorHAnsi"/>
                <w:sz w:val="24"/>
                <w:szCs w:val="24"/>
              </w:rPr>
              <w:t>”,</w:t>
            </w:r>
            <w:r w:rsidR="00FB3B85" w:rsidRPr="00C2523C">
              <w:rPr>
                <w:rFonts w:cstheme="minorHAnsi"/>
                <w:sz w:val="24"/>
                <w:szCs w:val="24"/>
              </w:rPr>
              <w:t xml:space="preserve"> </w:t>
            </w:r>
            <w:r w:rsidRPr="00C2523C">
              <w:rPr>
                <w:rFonts w:cstheme="minorHAnsi"/>
                <w:sz w:val="24"/>
                <w:szCs w:val="24"/>
              </w:rPr>
              <w:t xml:space="preserve">której zakres </w:t>
            </w:r>
            <w:r w:rsidRPr="00C2523C">
              <w:rPr>
                <w:rFonts w:cstheme="minorHAnsi"/>
                <w:sz w:val="24"/>
                <w:szCs w:val="24"/>
              </w:rPr>
              <w:lastRenderedPageBreak/>
              <w:t>przedmiotowy obejmuje m.in. prawa i obowiązki przedsiębiorców</w:t>
            </w:r>
            <w:r w:rsidR="00FB3B85" w:rsidRPr="00C2523C">
              <w:rPr>
                <w:rFonts w:cstheme="minorHAnsi"/>
                <w:sz w:val="24"/>
                <w:szCs w:val="24"/>
              </w:rPr>
              <w:t xml:space="preserve"> </w:t>
            </w:r>
            <w:r w:rsidRPr="00C2523C">
              <w:rPr>
                <w:rFonts w:cstheme="minorHAnsi"/>
                <w:sz w:val="24"/>
                <w:szCs w:val="24"/>
              </w:rPr>
              <w:t>telekomunikacyjnych (art. 1 ust. 1 pkt 2 tej ustawy), warunki przetwarzania danych</w:t>
            </w:r>
            <w:r w:rsidR="00FB3B85" w:rsidRPr="00C2523C">
              <w:rPr>
                <w:rFonts w:cstheme="minorHAnsi"/>
                <w:sz w:val="24"/>
                <w:szCs w:val="24"/>
              </w:rPr>
              <w:t xml:space="preserve"> </w:t>
            </w:r>
            <w:r w:rsidRPr="00C2523C">
              <w:rPr>
                <w:rFonts w:cstheme="minorHAnsi"/>
                <w:sz w:val="24"/>
                <w:szCs w:val="24"/>
              </w:rPr>
              <w:t>w telekomunikacji i ochrony tajemnicy telekomunikacyjnej (art. 1 ust. 1 pkt 9 tej ustawy),</w:t>
            </w:r>
            <w:r w:rsidR="00FB3B85" w:rsidRPr="00C2523C">
              <w:rPr>
                <w:rFonts w:cstheme="minorHAnsi"/>
                <w:sz w:val="24"/>
                <w:szCs w:val="24"/>
              </w:rPr>
              <w:t xml:space="preserve"> </w:t>
            </w:r>
            <w:r w:rsidRPr="00C2523C">
              <w:rPr>
                <w:rFonts w:cstheme="minorHAnsi"/>
                <w:sz w:val="24"/>
                <w:szCs w:val="24"/>
              </w:rPr>
              <w:t>a także warunki ochrony użytkowników usług, w szczególności w zakresie prawa do</w:t>
            </w:r>
            <w:r w:rsidR="00FB3B85" w:rsidRPr="00C2523C">
              <w:rPr>
                <w:rFonts w:cstheme="minorHAnsi"/>
                <w:sz w:val="24"/>
                <w:szCs w:val="24"/>
              </w:rPr>
              <w:t xml:space="preserve"> </w:t>
            </w:r>
            <w:r w:rsidRPr="00C2523C">
              <w:rPr>
                <w:rFonts w:cstheme="minorHAnsi"/>
                <w:sz w:val="24"/>
                <w:szCs w:val="24"/>
              </w:rPr>
              <w:t>prywatności i poufności (art. 1 ust. 1 pkt 7 tej ustawy). Projektowana regulacja dotyczy, jak</w:t>
            </w:r>
            <w:r w:rsidR="00FB3B85" w:rsidRPr="00C2523C">
              <w:rPr>
                <w:rFonts w:cstheme="minorHAnsi"/>
                <w:sz w:val="24"/>
                <w:szCs w:val="24"/>
              </w:rPr>
              <w:t xml:space="preserve"> </w:t>
            </w:r>
            <w:r w:rsidRPr="00C2523C">
              <w:rPr>
                <w:rFonts w:cstheme="minorHAnsi"/>
                <w:sz w:val="24"/>
                <w:szCs w:val="24"/>
              </w:rPr>
              <w:t>się również wydaje, także kwestii związanych ze świadczeniem usług drogą elektroniczną,</w:t>
            </w:r>
            <w:r w:rsidR="00FB3B85" w:rsidRPr="00C2523C">
              <w:rPr>
                <w:rFonts w:cstheme="minorHAnsi"/>
                <w:sz w:val="24"/>
                <w:szCs w:val="24"/>
              </w:rPr>
              <w:t xml:space="preserve"> </w:t>
            </w:r>
            <w:r w:rsidRPr="00C2523C">
              <w:rPr>
                <w:rFonts w:cstheme="minorHAnsi"/>
                <w:sz w:val="24"/>
                <w:szCs w:val="24"/>
              </w:rPr>
              <w:t>regulowanych przepisami ustawy z dnia 18 lipca 2002 r. o świadczeniu usług drogą</w:t>
            </w:r>
            <w:r w:rsidR="00FB3B85" w:rsidRPr="00C2523C">
              <w:rPr>
                <w:rFonts w:cstheme="minorHAnsi"/>
                <w:sz w:val="24"/>
                <w:szCs w:val="24"/>
              </w:rPr>
              <w:t xml:space="preserve"> </w:t>
            </w:r>
            <w:r w:rsidRPr="00C2523C">
              <w:rPr>
                <w:rFonts w:cstheme="minorHAnsi"/>
                <w:sz w:val="24"/>
                <w:szCs w:val="24"/>
              </w:rPr>
              <w:t>elektroniczną (Dz. U. z 2020 r. poz. 344).</w:t>
            </w:r>
          </w:p>
          <w:p w14:paraId="7FC197F5" w14:textId="6096781A" w:rsidR="00BF24F1" w:rsidRPr="00C2523C" w:rsidRDefault="00BF24F1" w:rsidP="00BF24F1">
            <w:pPr>
              <w:autoSpaceDE w:val="0"/>
              <w:autoSpaceDN w:val="0"/>
              <w:adjustRightInd w:val="0"/>
              <w:rPr>
                <w:rFonts w:cstheme="minorHAnsi"/>
                <w:sz w:val="24"/>
                <w:szCs w:val="24"/>
              </w:rPr>
            </w:pPr>
          </w:p>
          <w:p w14:paraId="4BBAB128" w14:textId="078A5EEE"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Kwestia wykazania zasadności potrzeby odrębnej regulacji jest istotna, gdyż zgodnie</w:t>
            </w:r>
            <w:r w:rsidR="00FB3B85" w:rsidRPr="00C2523C">
              <w:rPr>
                <w:rFonts w:cstheme="minorHAnsi"/>
                <w:sz w:val="24"/>
                <w:szCs w:val="24"/>
              </w:rPr>
              <w:t xml:space="preserve"> </w:t>
            </w:r>
            <w:r w:rsidRPr="00C2523C">
              <w:rPr>
                <w:rFonts w:cstheme="minorHAnsi"/>
                <w:sz w:val="24"/>
                <w:szCs w:val="24"/>
              </w:rPr>
              <w:t>z § 2 Zasad techniki prawodawczej ustawa powinna wyczerpująco regulować daną dziedzinę</w:t>
            </w:r>
            <w:r w:rsidR="00FB3B85" w:rsidRPr="00C2523C">
              <w:rPr>
                <w:rFonts w:cstheme="minorHAnsi"/>
                <w:sz w:val="24"/>
                <w:szCs w:val="24"/>
              </w:rPr>
              <w:t xml:space="preserve"> </w:t>
            </w:r>
            <w:r w:rsidRPr="00C2523C">
              <w:rPr>
                <w:rFonts w:cstheme="minorHAnsi"/>
                <w:sz w:val="24"/>
                <w:szCs w:val="24"/>
              </w:rPr>
              <w:t xml:space="preserve">spraw, nie pozostawiając poza </w:t>
            </w:r>
            <w:r w:rsidR="00FB3B85" w:rsidRPr="00C2523C">
              <w:rPr>
                <w:rFonts w:cstheme="minorHAnsi"/>
                <w:sz w:val="24"/>
                <w:szCs w:val="24"/>
              </w:rPr>
              <w:t xml:space="preserve"> z</w:t>
            </w:r>
            <w:r w:rsidRPr="00C2523C">
              <w:rPr>
                <w:rFonts w:cstheme="minorHAnsi"/>
                <w:sz w:val="24"/>
                <w:szCs w:val="24"/>
              </w:rPr>
              <w:t>akresem swego unormowania istotnych fragmentów tej</w:t>
            </w:r>
            <w:r w:rsidR="00FB3B85" w:rsidRPr="00C2523C">
              <w:rPr>
                <w:rFonts w:cstheme="minorHAnsi"/>
                <w:sz w:val="24"/>
                <w:szCs w:val="24"/>
              </w:rPr>
              <w:t xml:space="preserve"> </w:t>
            </w:r>
            <w:r w:rsidRPr="00C2523C">
              <w:rPr>
                <w:rFonts w:cstheme="minorHAnsi"/>
                <w:sz w:val="24"/>
                <w:szCs w:val="24"/>
              </w:rPr>
              <w:t>dziedziny. Mając więc na uwadze zakres przedmiotowy i podmiotowy ustawy – Prawo</w:t>
            </w:r>
            <w:r w:rsidR="00FB3B85" w:rsidRPr="00C2523C">
              <w:rPr>
                <w:rFonts w:cstheme="minorHAnsi"/>
                <w:sz w:val="24"/>
                <w:szCs w:val="24"/>
              </w:rPr>
              <w:t xml:space="preserve"> </w:t>
            </w:r>
            <w:r w:rsidRPr="00C2523C">
              <w:rPr>
                <w:rFonts w:cstheme="minorHAnsi"/>
                <w:sz w:val="24"/>
                <w:szCs w:val="24"/>
              </w:rPr>
              <w:t>telekomunikacyjne, zasadnym wydaje się wprowadzenie projektowanych regulacji</w:t>
            </w:r>
            <w:r w:rsidR="00FB3B85" w:rsidRPr="00C2523C">
              <w:rPr>
                <w:rFonts w:cstheme="minorHAnsi"/>
                <w:sz w:val="24"/>
                <w:szCs w:val="24"/>
              </w:rPr>
              <w:t xml:space="preserve"> </w:t>
            </w:r>
            <w:r w:rsidRPr="00C2523C">
              <w:rPr>
                <w:rFonts w:cstheme="minorHAnsi"/>
                <w:sz w:val="24"/>
                <w:szCs w:val="24"/>
              </w:rPr>
              <w:t>dotyczących zwalczania nadużyć w komunikacji elektronicznej do ustawy regulującej ogół</w:t>
            </w:r>
            <w:r w:rsidR="00FB3B85" w:rsidRPr="00C2523C">
              <w:rPr>
                <w:rFonts w:cstheme="minorHAnsi"/>
                <w:sz w:val="24"/>
                <w:szCs w:val="24"/>
              </w:rPr>
              <w:t xml:space="preserve"> </w:t>
            </w:r>
            <w:r w:rsidRPr="00C2523C">
              <w:rPr>
                <w:rFonts w:cstheme="minorHAnsi"/>
                <w:sz w:val="24"/>
                <w:szCs w:val="24"/>
              </w:rPr>
              <w:t>zagadnień dotyczących telekomunikacji i rezygnację z regulacji odrębnej.</w:t>
            </w:r>
          </w:p>
          <w:p w14:paraId="7F371A36" w14:textId="263F8DB9"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Obecnie ustawą podstawową dla tej dziedziny spraw jest ustawa – Prawo</w:t>
            </w:r>
            <w:r w:rsidR="00FB3B85" w:rsidRPr="00C2523C">
              <w:rPr>
                <w:rFonts w:cstheme="minorHAnsi"/>
                <w:sz w:val="24"/>
                <w:szCs w:val="24"/>
              </w:rPr>
              <w:t xml:space="preserve"> </w:t>
            </w:r>
            <w:r w:rsidRPr="00C2523C">
              <w:rPr>
                <w:rFonts w:cstheme="minorHAnsi"/>
                <w:sz w:val="24"/>
                <w:szCs w:val="24"/>
              </w:rPr>
              <w:t>telekomunikacyjne, ale w tym miejscu przypomnieć należy, że trwają zaawansowane prace</w:t>
            </w:r>
            <w:r w:rsidR="00FB3B85" w:rsidRPr="00C2523C">
              <w:rPr>
                <w:rFonts w:cstheme="minorHAnsi"/>
                <w:sz w:val="24"/>
                <w:szCs w:val="24"/>
              </w:rPr>
              <w:t xml:space="preserve"> </w:t>
            </w:r>
            <w:r w:rsidRPr="00C2523C">
              <w:rPr>
                <w:rFonts w:cstheme="minorHAnsi"/>
                <w:sz w:val="24"/>
                <w:szCs w:val="24"/>
              </w:rPr>
              <w:t>legislacyjne nad regulacją ustawową dotyczącą komunikacji elektronicznej, w tym</w:t>
            </w:r>
            <w:r w:rsidR="00FB3B85" w:rsidRPr="00C2523C">
              <w:rPr>
                <w:rFonts w:cstheme="minorHAnsi"/>
                <w:sz w:val="24"/>
                <w:szCs w:val="24"/>
              </w:rPr>
              <w:t xml:space="preserve"> </w:t>
            </w:r>
            <w:r w:rsidRPr="00C2523C">
              <w:rPr>
                <w:rFonts w:cstheme="minorHAnsi"/>
                <w:sz w:val="24"/>
                <w:szCs w:val="24"/>
              </w:rPr>
              <w:t>działalności telekomunikacyjnej, która zawiera przepisy dotyczące nadużyć</w:t>
            </w:r>
            <w:r w:rsidR="00FB3B85" w:rsidRPr="00C2523C">
              <w:rPr>
                <w:rFonts w:cstheme="minorHAnsi"/>
                <w:sz w:val="24"/>
                <w:szCs w:val="24"/>
              </w:rPr>
              <w:t xml:space="preserve"> </w:t>
            </w:r>
            <w:r w:rsidRPr="00C2523C">
              <w:rPr>
                <w:rFonts w:cstheme="minorHAnsi"/>
                <w:sz w:val="24"/>
                <w:szCs w:val="24"/>
              </w:rPr>
              <w:t>telekomunikacyjnych (art. 173 projektu ustawy - Prawo komunikacji elektronicznej, UC45).</w:t>
            </w:r>
          </w:p>
          <w:p w14:paraId="5EAC3564" w14:textId="5F7C1984"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xml:space="preserve">Ponadto wskazać należy, że procedowana równolegle </w:t>
            </w:r>
            <w:r w:rsidRPr="00C2523C">
              <w:rPr>
                <w:rFonts w:cstheme="minorHAnsi"/>
                <w:i/>
                <w:sz w:val="24"/>
                <w:szCs w:val="24"/>
              </w:rPr>
              <w:t>ustawa – Przepisy wprowadzające</w:t>
            </w:r>
            <w:r w:rsidR="00FB3B85" w:rsidRPr="00C2523C">
              <w:rPr>
                <w:rFonts w:cstheme="minorHAnsi"/>
                <w:i/>
                <w:sz w:val="24"/>
                <w:szCs w:val="24"/>
              </w:rPr>
              <w:t xml:space="preserve"> </w:t>
            </w:r>
            <w:r w:rsidRPr="00C2523C">
              <w:rPr>
                <w:rFonts w:cstheme="minorHAnsi"/>
                <w:i/>
                <w:sz w:val="24"/>
                <w:szCs w:val="24"/>
              </w:rPr>
              <w:t xml:space="preserve">ustawę - Prawo komunikacji </w:t>
            </w:r>
            <w:r w:rsidRPr="00C2523C">
              <w:rPr>
                <w:rFonts w:cstheme="minorHAnsi"/>
                <w:sz w:val="24"/>
                <w:szCs w:val="24"/>
              </w:rPr>
              <w:t>elektronicznej uchyla ustawę - Prawo telekomunikacyjne, do</w:t>
            </w:r>
            <w:r w:rsidR="00FB3B85" w:rsidRPr="00C2523C">
              <w:rPr>
                <w:rFonts w:cstheme="minorHAnsi"/>
                <w:sz w:val="24"/>
                <w:szCs w:val="24"/>
              </w:rPr>
              <w:t xml:space="preserve"> </w:t>
            </w:r>
            <w:r w:rsidRPr="00C2523C">
              <w:rPr>
                <w:rFonts w:cstheme="minorHAnsi"/>
                <w:sz w:val="24"/>
                <w:szCs w:val="24"/>
              </w:rPr>
              <w:t xml:space="preserve">której przepisów odsyła, i </w:t>
            </w:r>
            <w:r w:rsidRPr="00C2523C">
              <w:rPr>
                <w:rFonts w:cstheme="minorHAnsi"/>
                <w:sz w:val="24"/>
                <w:szCs w:val="24"/>
              </w:rPr>
              <w:lastRenderedPageBreak/>
              <w:t>na której bazuje, opiniowany projekt ustawy o zwalczaniu nadużyć</w:t>
            </w:r>
            <w:r w:rsidR="00FB3B85" w:rsidRPr="00C2523C">
              <w:rPr>
                <w:rFonts w:cstheme="minorHAnsi"/>
                <w:sz w:val="24"/>
                <w:szCs w:val="24"/>
              </w:rPr>
              <w:t xml:space="preserve"> </w:t>
            </w:r>
            <w:r w:rsidRPr="00C2523C">
              <w:rPr>
                <w:rFonts w:cstheme="minorHAnsi"/>
                <w:sz w:val="24"/>
                <w:szCs w:val="24"/>
              </w:rPr>
              <w:t xml:space="preserve">w komunikacji elektronicznej. Wejście w życie </w:t>
            </w:r>
            <w:r w:rsidRPr="00C2523C">
              <w:rPr>
                <w:rFonts w:cstheme="minorHAnsi"/>
                <w:i/>
                <w:sz w:val="24"/>
                <w:szCs w:val="24"/>
              </w:rPr>
              <w:t>ustawy Przepisy wprowadzające ustawę -</w:t>
            </w:r>
            <w:r w:rsidR="00FB3B85" w:rsidRPr="00C2523C">
              <w:rPr>
                <w:rFonts w:cstheme="minorHAnsi"/>
                <w:i/>
                <w:sz w:val="24"/>
                <w:szCs w:val="24"/>
              </w:rPr>
              <w:t xml:space="preserve"> </w:t>
            </w:r>
            <w:r w:rsidRPr="00C2523C">
              <w:rPr>
                <w:rFonts w:cstheme="minorHAnsi"/>
                <w:i/>
                <w:sz w:val="24"/>
                <w:szCs w:val="24"/>
              </w:rPr>
              <w:t xml:space="preserve">Prawo komunikacji elektronicznej </w:t>
            </w:r>
            <w:r w:rsidRPr="00C2523C">
              <w:rPr>
                <w:rFonts w:cstheme="minorHAnsi"/>
                <w:sz w:val="24"/>
                <w:szCs w:val="24"/>
              </w:rPr>
              <w:t xml:space="preserve">oraz </w:t>
            </w:r>
            <w:r w:rsidRPr="00C2523C">
              <w:rPr>
                <w:rFonts w:cstheme="minorHAnsi"/>
                <w:i/>
                <w:sz w:val="24"/>
                <w:szCs w:val="24"/>
              </w:rPr>
              <w:t xml:space="preserve">ustawy - Prawo komunikacji elektronicznej </w:t>
            </w:r>
            <w:r w:rsidRPr="00C2523C">
              <w:rPr>
                <w:rFonts w:cstheme="minorHAnsi"/>
                <w:sz w:val="24"/>
                <w:szCs w:val="24"/>
              </w:rPr>
              <w:t>spowodują</w:t>
            </w:r>
            <w:r w:rsidR="00FB3B85" w:rsidRPr="00C2523C">
              <w:rPr>
                <w:rFonts w:cstheme="minorHAnsi"/>
                <w:sz w:val="24"/>
                <w:szCs w:val="24"/>
              </w:rPr>
              <w:t xml:space="preserve"> </w:t>
            </w:r>
            <w:r w:rsidRPr="00C2523C">
              <w:rPr>
                <w:rFonts w:cstheme="minorHAnsi"/>
                <w:sz w:val="24"/>
                <w:szCs w:val="24"/>
              </w:rPr>
              <w:t>więc konieczność zasadniczej nowelizacji projektowanej ustawy o zwalczaniu nadużyć</w:t>
            </w:r>
            <w:r w:rsidR="00FB3B85" w:rsidRPr="00C2523C">
              <w:rPr>
                <w:rFonts w:cstheme="minorHAnsi"/>
                <w:sz w:val="24"/>
                <w:szCs w:val="24"/>
              </w:rPr>
              <w:t xml:space="preserve"> </w:t>
            </w:r>
            <w:r w:rsidRPr="00C2523C">
              <w:rPr>
                <w:rFonts w:cstheme="minorHAnsi"/>
                <w:sz w:val="24"/>
                <w:szCs w:val="24"/>
              </w:rPr>
              <w:t>w komunikacji elektronicznej (która wejdzie w życie przed regulacjami związanymi</w:t>
            </w:r>
            <w:r w:rsidR="00FB3B85" w:rsidRPr="00C2523C">
              <w:rPr>
                <w:rFonts w:cstheme="minorHAnsi"/>
                <w:sz w:val="24"/>
                <w:szCs w:val="24"/>
              </w:rPr>
              <w:t xml:space="preserve"> </w:t>
            </w:r>
            <w:r w:rsidRPr="00C2523C">
              <w:rPr>
                <w:rFonts w:cstheme="minorHAnsi"/>
                <w:sz w:val="24"/>
                <w:szCs w:val="24"/>
              </w:rPr>
              <w:t>z wdrożeniem EKŁE). Niniejsze potwierdza konieczność ponownego rozważenia zasadności</w:t>
            </w:r>
            <w:r w:rsidR="00FB3B85" w:rsidRPr="00C2523C">
              <w:rPr>
                <w:rFonts w:cstheme="minorHAnsi"/>
                <w:sz w:val="24"/>
                <w:szCs w:val="24"/>
              </w:rPr>
              <w:t xml:space="preserve"> </w:t>
            </w:r>
            <w:r w:rsidRPr="00C2523C">
              <w:rPr>
                <w:rFonts w:cstheme="minorHAnsi"/>
                <w:sz w:val="24"/>
                <w:szCs w:val="24"/>
              </w:rPr>
              <w:t>regulowania kwestii nadużyć w komunikacji elektronicznej odrębnym aktem normatywnym</w:t>
            </w:r>
            <w:r w:rsidR="00FB3B85" w:rsidRPr="00C2523C">
              <w:rPr>
                <w:rFonts w:cstheme="minorHAnsi"/>
                <w:sz w:val="24"/>
                <w:szCs w:val="24"/>
              </w:rPr>
              <w:t xml:space="preserve"> </w:t>
            </w:r>
            <w:r w:rsidRPr="00C2523C">
              <w:rPr>
                <w:rFonts w:cstheme="minorHAnsi"/>
                <w:sz w:val="24"/>
                <w:szCs w:val="24"/>
              </w:rPr>
              <w:t>funkcjonującym obok ustaw „głównych”.</w:t>
            </w:r>
          </w:p>
          <w:p w14:paraId="327B13AE" w14:textId="6F923423"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Zauważyć ponadto należy, że w uzasadnieniu do przedstawionego projektu ustawy</w:t>
            </w:r>
            <w:r w:rsidR="00FB3B85" w:rsidRPr="00C2523C">
              <w:rPr>
                <w:rFonts w:cstheme="minorHAnsi"/>
                <w:sz w:val="24"/>
                <w:szCs w:val="24"/>
              </w:rPr>
              <w:t xml:space="preserve"> </w:t>
            </w:r>
            <w:r w:rsidRPr="00C2523C">
              <w:rPr>
                <w:rFonts w:cstheme="minorHAnsi"/>
                <w:sz w:val="24"/>
                <w:szCs w:val="24"/>
              </w:rPr>
              <w:t>Projektodawca podkreśla, że „</w:t>
            </w:r>
            <w:r w:rsidRPr="00C2523C">
              <w:rPr>
                <w:rFonts w:cstheme="minorHAnsi"/>
                <w:i/>
                <w:sz w:val="24"/>
                <w:szCs w:val="24"/>
              </w:rPr>
              <w:t>kwestia zwalczania nadużyć nie jest regulowana w Europejskim</w:t>
            </w:r>
            <w:r w:rsidR="00FB3B85" w:rsidRPr="00C2523C">
              <w:rPr>
                <w:rFonts w:cstheme="minorHAnsi"/>
                <w:i/>
                <w:sz w:val="24"/>
                <w:szCs w:val="24"/>
              </w:rPr>
              <w:t xml:space="preserve"> </w:t>
            </w:r>
            <w:r w:rsidRPr="00C2523C">
              <w:rPr>
                <w:rFonts w:cstheme="minorHAnsi"/>
                <w:i/>
                <w:sz w:val="24"/>
                <w:szCs w:val="24"/>
              </w:rPr>
              <w:t>Kodeksie Łączności Elektronicznej oraz nie była dotychczas regulowana w ustawie – Prawo</w:t>
            </w:r>
            <w:r w:rsidR="00FB3B85" w:rsidRPr="00C2523C">
              <w:rPr>
                <w:rFonts w:cstheme="minorHAnsi"/>
                <w:i/>
                <w:sz w:val="24"/>
                <w:szCs w:val="24"/>
              </w:rPr>
              <w:t xml:space="preserve"> </w:t>
            </w:r>
            <w:r w:rsidRPr="00C2523C">
              <w:rPr>
                <w:rFonts w:cstheme="minorHAnsi"/>
                <w:i/>
                <w:sz w:val="24"/>
                <w:szCs w:val="24"/>
              </w:rPr>
              <w:t>telekomunikacyjne</w:t>
            </w:r>
            <w:r w:rsidRPr="00C2523C">
              <w:rPr>
                <w:rFonts w:cstheme="minorHAnsi"/>
                <w:sz w:val="24"/>
                <w:szCs w:val="24"/>
              </w:rPr>
              <w:t>”.</w:t>
            </w:r>
          </w:p>
          <w:p w14:paraId="36AED88C" w14:textId="77777777"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Zważywszy na powyższe wskazać jednak w tym miejscu należy, że:</w:t>
            </w:r>
          </w:p>
          <w:p w14:paraId="6CB640A2" w14:textId="77777777"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xml:space="preserve">1) przepis art. 2 pkt 26 projektu </w:t>
            </w:r>
            <w:r w:rsidRPr="00C2523C">
              <w:rPr>
                <w:rFonts w:cstheme="minorHAnsi"/>
                <w:i/>
                <w:sz w:val="24"/>
                <w:szCs w:val="24"/>
              </w:rPr>
              <w:t xml:space="preserve">ustawy - Prawo komunikacji elektronicznej </w:t>
            </w:r>
            <w:r w:rsidRPr="00C2523C">
              <w:rPr>
                <w:rFonts w:cstheme="minorHAnsi"/>
                <w:sz w:val="24"/>
                <w:szCs w:val="24"/>
              </w:rPr>
              <w:t>wprowadza</w:t>
            </w:r>
          </w:p>
          <w:p w14:paraId="25DB5419" w14:textId="08ABE809"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pojęcie „</w:t>
            </w:r>
            <w:r w:rsidRPr="00C2523C">
              <w:rPr>
                <w:rFonts w:cstheme="minorHAnsi"/>
                <w:i/>
                <w:sz w:val="24"/>
                <w:szCs w:val="24"/>
              </w:rPr>
              <w:t>nadużycia telekomunikacyjnego</w:t>
            </w:r>
            <w:r w:rsidRPr="00C2523C">
              <w:rPr>
                <w:rFonts w:cstheme="minorHAnsi"/>
                <w:sz w:val="24"/>
                <w:szCs w:val="24"/>
              </w:rPr>
              <w:t>”, do którego następnie odnosi się m.in. art. 343 tego</w:t>
            </w:r>
            <w:r w:rsidR="0011462A" w:rsidRPr="00C2523C">
              <w:rPr>
                <w:rFonts w:cstheme="minorHAnsi"/>
                <w:sz w:val="24"/>
                <w:szCs w:val="24"/>
              </w:rPr>
              <w:t xml:space="preserve"> </w:t>
            </w:r>
            <w:r w:rsidRPr="00C2523C">
              <w:rPr>
                <w:rFonts w:cstheme="minorHAnsi"/>
                <w:sz w:val="24"/>
                <w:szCs w:val="24"/>
              </w:rPr>
              <w:t xml:space="preserve">projektu ustawy, który </w:t>
            </w:r>
            <w:r w:rsidRPr="00C2523C">
              <w:rPr>
                <w:rFonts w:cstheme="minorHAnsi"/>
                <w:i/>
                <w:sz w:val="24"/>
                <w:szCs w:val="24"/>
              </w:rPr>
              <w:t xml:space="preserve">nota bene </w:t>
            </w:r>
            <w:r w:rsidRPr="00C2523C">
              <w:rPr>
                <w:rFonts w:cstheme="minorHAnsi"/>
                <w:sz w:val="24"/>
                <w:szCs w:val="24"/>
              </w:rPr>
              <w:t>wdraża art. 97 ust. 2 dyrektywy Parlamentu Europejskiego</w:t>
            </w:r>
          </w:p>
          <w:p w14:paraId="3503E951" w14:textId="42250A5C"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i Rady (UE) 2018/1972 z dnia 11 grudnia 2018 r. ustanawiającej Europejski kodeks łączności</w:t>
            </w:r>
            <w:r w:rsidR="0011462A" w:rsidRPr="00C2523C">
              <w:rPr>
                <w:rFonts w:cstheme="minorHAnsi"/>
                <w:sz w:val="24"/>
                <w:szCs w:val="24"/>
              </w:rPr>
              <w:t xml:space="preserve"> </w:t>
            </w:r>
            <w:r w:rsidRPr="00C2523C">
              <w:rPr>
                <w:rFonts w:cstheme="minorHAnsi"/>
                <w:sz w:val="24"/>
                <w:szCs w:val="24"/>
              </w:rPr>
              <w:t>elektronicznej, dalej jako „EKŁE”;</w:t>
            </w:r>
          </w:p>
          <w:p w14:paraId="1E9A3774" w14:textId="62689000"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2) kontrola działalności polegającej na zapewnianiu komunikacji elektronicznej jest</w:t>
            </w:r>
            <w:r w:rsidR="0011462A" w:rsidRPr="00C2523C">
              <w:rPr>
                <w:rFonts w:cstheme="minorHAnsi"/>
                <w:sz w:val="24"/>
                <w:szCs w:val="24"/>
              </w:rPr>
              <w:t xml:space="preserve"> </w:t>
            </w:r>
            <w:r w:rsidRPr="00C2523C">
              <w:rPr>
                <w:rFonts w:cstheme="minorHAnsi"/>
                <w:sz w:val="24"/>
                <w:szCs w:val="24"/>
              </w:rPr>
              <w:t>przedmiotem projektowanej ustawy – Prawo komunikacji elektronicznej;</w:t>
            </w:r>
          </w:p>
          <w:p w14:paraId="11D158A6" w14:textId="4E6D46A6"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3) niektóre pojęcia, które Projektodawca wprowadził do przedstawionego projektu</w:t>
            </w:r>
            <w:r w:rsidR="0011462A" w:rsidRPr="00C2523C">
              <w:rPr>
                <w:rFonts w:cstheme="minorHAnsi"/>
                <w:sz w:val="24"/>
                <w:szCs w:val="24"/>
              </w:rPr>
              <w:t xml:space="preserve"> </w:t>
            </w:r>
            <w:r w:rsidRPr="00C2523C">
              <w:rPr>
                <w:rFonts w:cstheme="minorHAnsi"/>
                <w:sz w:val="24"/>
                <w:szCs w:val="24"/>
              </w:rPr>
              <w:t xml:space="preserve">ustawy należą do terminologii którą operuje EKŁE i które w tabeli zgodności projektu </w:t>
            </w:r>
            <w:r w:rsidRPr="00C2523C">
              <w:rPr>
                <w:rFonts w:cstheme="minorHAnsi"/>
                <w:i/>
                <w:iCs/>
                <w:sz w:val="24"/>
                <w:szCs w:val="24"/>
              </w:rPr>
              <w:t>ustawy</w:t>
            </w:r>
            <w:r w:rsidR="0011462A" w:rsidRPr="00C2523C">
              <w:rPr>
                <w:rFonts w:cstheme="minorHAnsi"/>
                <w:i/>
                <w:iCs/>
                <w:sz w:val="24"/>
                <w:szCs w:val="24"/>
              </w:rPr>
              <w:t xml:space="preserve"> </w:t>
            </w:r>
            <w:r w:rsidRPr="00C2523C">
              <w:rPr>
                <w:rFonts w:cstheme="minorHAnsi"/>
                <w:i/>
                <w:iCs/>
                <w:sz w:val="24"/>
                <w:szCs w:val="24"/>
              </w:rPr>
              <w:t xml:space="preserve">– Prawo komunikacji elektronicznej </w:t>
            </w:r>
            <w:r w:rsidRPr="00C2523C">
              <w:rPr>
                <w:rFonts w:cstheme="minorHAnsi"/>
                <w:sz w:val="24"/>
                <w:szCs w:val="24"/>
              </w:rPr>
              <w:t>wskazane są jako wdrażające przepisy EKŁE. Wskazać</w:t>
            </w:r>
            <w:r w:rsidR="0011462A" w:rsidRPr="00C2523C">
              <w:rPr>
                <w:rFonts w:cstheme="minorHAnsi"/>
                <w:sz w:val="24"/>
                <w:szCs w:val="24"/>
              </w:rPr>
              <w:t xml:space="preserve"> </w:t>
            </w:r>
            <w:r w:rsidRPr="00C2523C">
              <w:rPr>
                <w:rFonts w:cstheme="minorHAnsi"/>
                <w:sz w:val="24"/>
                <w:szCs w:val="24"/>
              </w:rPr>
              <w:t xml:space="preserve">tu </w:t>
            </w:r>
            <w:r w:rsidRPr="00C2523C">
              <w:rPr>
                <w:rFonts w:cstheme="minorHAnsi"/>
                <w:sz w:val="24"/>
                <w:szCs w:val="24"/>
              </w:rPr>
              <w:lastRenderedPageBreak/>
              <w:t>należy pojęcia definiowane w art. 2 pkt 12 i 13 przedmiotowego projektu – „usługa</w:t>
            </w:r>
            <w:r w:rsidR="0011462A" w:rsidRPr="00C2523C">
              <w:rPr>
                <w:rFonts w:cstheme="minorHAnsi"/>
                <w:sz w:val="24"/>
                <w:szCs w:val="24"/>
              </w:rPr>
              <w:t xml:space="preserve"> </w:t>
            </w:r>
            <w:r w:rsidRPr="00C2523C">
              <w:rPr>
                <w:rFonts w:cstheme="minorHAnsi"/>
                <w:sz w:val="24"/>
                <w:szCs w:val="24"/>
              </w:rPr>
              <w:t>komunikacji interpersonalnej” oraz „usługa komunikacji interpersonalnej niewykorzystująca</w:t>
            </w:r>
            <w:r w:rsidR="0011462A" w:rsidRPr="00C2523C">
              <w:rPr>
                <w:rFonts w:cstheme="minorHAnsi"/>
                <w:sz w:val="24"/>
                <w:szCs w:val="24"/>
              </w:rPr>
              <w:t xml:space="preserve"> </w:t>
            </w:r>
            <w:r w:rsidRPr="00C2523C">
              <w:rPr>
                <w:rFonts w:cstheme="minorHAnsi"/>
                <w:sz w:val="24"/>
                <w:szCs w:val="24"/>
              </w:rPr>
              <w:t>numerów” – w EKŁE odpowiednio „usługa łączności interpersonalnej” i „usługa łączności</w:t>
            </w:r>
            <w:r w:rsidR="0011462A" w:rsidRPr="00C2523C">
              <w:rPr>
                <w:rFonts w:cstheme="minorHAnsi"/>
                <w:sz w:val="24"/>
                <w:szCs w:val="24"/>
              </w:rPr>
              <w:t xml:space="preserve"> </w:t>
            </w:r>
            <w:r w:rsidRPr="00C2523C">
              <w:rPr>
                <w:rFonts w:cstheme="minorHAnsi"/>
                <w:sz w:val="24"/>
                <w:szCs w:val="24"/>
              </w:rPr>
              <w:t>interpersonalnej niewykorzystująca numerów” (art. 5 pkt 5 i 7 EKŁE).</w:t>
            </w:r>
          </w:p>
          <w:p w14:paraId="0411CC5A" w14:textId="44BD855E" w:rsidR="00BF24F1" w:rsidRPr="00C2523C" w:rsidRDefault="00BF24F1" w:rsidP="002F0E46">
            <w:pPr>
              <w:autoSpaceDE w:val="0"/>
              <w:autoSpaceDN w:val="0"/>
              <w:adjustRightInd w:val="0"/>
              <w:rPr>
                <w:rFonts w:cstheme="minorHAnsi"/>
                <w:sz w:val="24"/>
                <w:szCs w:val="24"/>
              </w:rPr>
            </w:pPr>
            <w:r w:rsidRPr="00C2523C">
              <w:rPr>
                <w:rFonts w:cstheme="minorHAnsi"/>
                <w:sz w:val="24"/>
                <w:szCs w:val="24"/>
              </w:rPr>
              <w:t>Przedmiotowy projekt nie zawiera jednak odnośnika europejskiego informującego</w:t>
            </w:r>
            <w:r w:rsidR="0011462A" w:rsidRPr="00C2523C">
              <w:rPr>
                <w:rFonts w:cstheme="minorHAnsi"/>
                <w:sz w:val="24"/>
                <w:szCs w:val="24"/>
              </w:rPr>
              <w:t xml:space="preserve"> </w:t>
            </w:r>
            <w:r w:rsidRPr="00C2523C">
              <w:rPr>
                <w:rFonts w:cstheme="minorHAnsi"/>
                <w:sz w:val="24"/>
                <w:szCs w:val="24"/>
              </w:rPr>
              <w:t>o wdrażaniu postanowień aktu normatywnego ustanowionego przez instytucję Unii</w:t>
            </w:r>
            <w:r w:rsidR="0011462A" w:rsidRPr="00C2523C">
              <w:rPr>
                <w:rFonts w:cstheme="minorHAnsi"/>
                <w:sz w:val="24"/>
                <w:szCs w:val="24"/>
              </w:rPr>
              <w:t xml:space="preserve"> </w:t>
            </w:r>
            <w:r w:rsidRPr="00C2523C">
              <w:rPr>
                <w:rFonts w:cstheme="minorHAnsi"/>
                <w:sz w:val="24"/>
                <w:szCs w:val="24"/>
              </w:rPr>
              <w:t>Europejskiej, o którym mowa w § 19a ust. 1 Zasad techniki prawodawczej.</w:t>
            </w:r>
          </w:p>
          <w:p w14:paraId="50114A7A" w14:textId="6F2E9E26"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Mając powyższe na uwadze ponownego przeanalizowania i wyjaśnienia wymagają</w:t>
            </w:r>
            <w:r w:rsidR="0011462A" w:rsidRPr="00C2523C">
              <w:rPr>
                <w:rFonts w:cstheme="minorHAnsi"/>
                <w:sz w:val="24"/>
                <w:szCs w:val="24"/>
              </w:rPr>
              <w:t xml:space="preserve"> </w:t>
            </w:r>
            <w:r w:rsidRPr="00C2523C">
              <w:rPr>
                <w:rFonts w:cstheme="minorHAnsi"/>
                <w:sz w:val="24"/>
                <w:szCs w:val="24"/>
              </w:rPr>
              <w:t>następujące kwestie:</w:t>
            </w:r>
          </w:p>
          <w:p w14:paraId="6E554B87" w14:textId="5EB2B04C"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1) czy koniecznym jest regulowanie przedmiotu opiniowanego projektu ustawy odrębną</w:t>
            </w:r>
            <w:r w:rsidR="0011462A" w:rsidRPr="00C2523C">
              <w:rPr>
                <w:rFonts w:cstheme="minorHAnsi"/>
                <w:sz w:val="24"/>
                <w:szCs w:val="24"/>
              </w:rPr>
              <w:t xml:space="preserve"> </w:t>
            </w:r>
            <w:r w:rsidRPr="00C2523C">
              <w:rPr>
                <w:rFonts w:cstheme="minorHAnsi"/>
                <w:sz w:val="24"/>
                <w:szCs w:val="24"/>
              </w:rPr>
              <w:t>regulacją, a nie przygotowanie nowelizacji obowiązujących przepisów;</w:t>
            </w:r>
          </w:p>
          <w:p w14:paraId="15180E67" w14:textId="33BAE30A"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2) w przypadku potwierdzenia potrzeby odrębnej regulacji, o której mowa w pkt 1 –</w:t>
            </w:r>
            <w:r w:rsidR="007831B6" w:rsidRPr="00C2523C">
              <w:rPr>
                <w:rFonts w:cstheme="minorHAnsi"/>
                <w:sz w:val="24"/>
                <w:szCs w:val="24"/>
              </w:rPr>
              <w:t xml:space="preserve"> </w:t>
            </w:r>
            <w:r w:rsidRPr="00C2523C">
              <w:rPr>
                <w:rFonts w:cstheme="minorHAnsi"/>
                <w:sz w:val="24"/>
                <w:szCs w:val="24"/>
              </w:rPr>
              <w:t>rozważenia wymaga, do której ustawy „głównej” przedmiotowy projekt ma się odnosić - do</w:t>
            </w:r>
            <w:r w:rsidR="0011462A" w:rsidRPr="00C2523C">
              <w:rPr>
                <w:rFonts w:cstheme="minorHAnsi"/>
                <w:sz w:val="24"/>
                <w:szCs w:val="24"/>
              </w:rPr>
              <w:t xml:space="preserve"> </w:t>
            </w:r>
            <w:r w:rsidRPr="00C2523C">
              <w:rPr>
                <w:rFonts w:cstheme="minorHAnsi"/>
                <w:sz w:val="24"/>
                <w:szCs w:val="24"/>
              </w:rPr>
              <w:t>ustawy - Prawo telekomunikacyjne, czy do projektowanej ustawy – Prawo komunikacji</w:t>
            </w:r>
            <w:r w:rsidR="0011462A" w:rsidRPr="00C2523C">
              <w:rPr>
                <w:rFonts w:cstheme="minorHAnsi"/>
                <w:sz w:val="24"/>
                <w:szCs w:val="24"/>
              </w:rPr>
              <w:t xml:space="preserve"> </w:t>
            </w:r>
            <w:r w:rsidRPr="00C2523C">
              <w:rPr>
                <w:rFonts w:cstheme="minorHAnsi"/>
                <w:sz w:val="24"/>
                <w:szCs w:val="24"/>
              </w:rPr>
              <w:t>elektronicznej (i czy w tym przypadku nie jest wskazane skorelowanie terminu wejścia</w:t>
            </w:r>
          </w:p>
          <w:p w14:paraId="652B20AE" w14:textId="236009ED"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xml:space="preserve">w życie przedmiotowego projektu z terminem wejścia w życie projektu </w:t>
            </w:r>
            <w:r w:rsidRPr="00C2523C">
              <w:rPr>
                <w:rFonts w:cstheme="minorHAnsi"/>
                <w:i/>
                <w:iCs/>
                <w:sz w:val="24"/>
                <w:szCs w:val="24"/>
              </w:rPr>
              <w:t>ustawy – Prawo</w:t>
            </w:r>
            <w:r w:rsidR="0011462A" w:rsidRPr="00C2523C">
              <w:rPr>
                <w:rFonts w:cstheme="minorHAnsi"/>
                <w:i/>
                <w:iCs/>
                <w:sz w:val="24"/>
                <w:szCs w:val="24"/>
              </w:rPr>
              <w:t xml:space="preserve"> </w:t>
            </w:r>
            <w:r w:rsidRPr="00C2523C">
              <w:rPr>
                <w:rFonts w:cstheme="minorHAnsi"/>
                <w:i/>
                <w:iCs/>
                <w:sz w:val="24"/>
                <w:szCs w:val="24"/>
              </w:rPr>
              <w:t>komunikacji elektronicznej)</w:t>
            </w:r>
            <w:r w:rsidRPr="00C2523C">
              <w:rPr>
                <w:rFonts w:cstheme="minorHAnsi"/>
                <w:sz w:val="24"/>
                <w:szCs w:val="24"/>
              </w:rPr>
              <w:t>;</w:t>
            </w:r>
          </w:p>
          <w:p w14:paraId="66BE090C" w14:textId="5BD20CA4"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3) czy przedmiotowy projekt wdraża przepisy europejskie, a jeżeli tak, uzupełnienia</w:t>
            </w:r>
            <w:r w:rsidR="0011462A" w:rsidRPr="00C2523C">
              <w:rPr>
                <w:rFonts w:cstheme="minorHAnsi"/>
                <w:sz w:val="24"/>
                <w:szCs w:val="24"/>
              </w:rPr>
              <w:t xml:space="preserve"> </w:t>
            </w:r>
            <w:r w:rsidRPr="00C2523C">
              <w:rPr>
                <w:rFonts w:cstheme="minorHAnsi"/>
                <w:sz w:val="24"/>
                <w:szCs w:val="24"/>
              </w:rPr>
              <w:t>dokumentacji projektu o dokumenty, o których mowa w § 30 Regulaminu pracy Rady</w:t>
            </w:r>
            <w:r w:rsidR="0011462A" w:rsidRPr="00C2523C">
              <w:rPr>
                <w:rFonts w:cstheme="minorHAnsi"/>
                <w:sz w:val="24"/>
                <w:szCs w:val="24"/>
              </w:rPr>
              <w:t xml:space="preserve"> </w:t>
            </w:r>
            <w:r w:rsidRPr="00C2523C">
              <w:rPr>
                <w:rFonts w:cstheme="minorHAnsi"/>
                <w:sz w:val="24"/>
                <w:szCs w:val="24"/>
              </w:rPr>
              <w:t>Ministrów.</w:t>
            </w:r>
          </w:p>
          <w:p w14:paraId="362A78EC" w14:textId="63A9476D" w:rsidR="00BF24F1" w:rsidRPr="00C2523C" w:rsidRDefault="00BF24F1" w:rsidP="002F0E46">
            <w:pPr>
              <w:autoSpaceDE w:val="0"/>
              <w:autoSpaceDN w:val="0"/>
              <w:adjustRightInd w:val="0"/>
              <w:rPr>
                <w:rFonts w:cstheme="minorHAnsi"/>
                <w:sz w:val="24"/>
                <w:szCs w:val="24"/>
              </w:rPr>
            </w:pPr>
            <w:r w:rsidRPr="00C2523C">
              <w:rPr>
                <w:rFonts w:cstheme="minorHAnsi"/>
                <w:sz w:val="24"/>
                <w:szCs w:val="24"/>
              </w:rPr>
              <w:t>Powyższe informacje powinny zostać uwzględnione w uzasadnieniu przedmiotowego</w:t>
            </w:r>
            <w:r w:rsidR="0011462A" w:rsidRPr="00C2523C">
              <w:rPr>
                <w:rFonts w:cstheme="minorHAnsi"/>
                <w:sz w:val="24"/>
                <w:szCs w:val="24"/>
              </w:rPr>
              <w:t xml:space="preserve"> </w:t>
            </w:r>
            <w:r w:rsidRPr="00C2523C">
              <w:rPr>
                <w:rFonts w:cstheme="minorHAnsi"/>
                <w:sz w:val="24"/>
                <w:szCs w:val="24"/>
              </w:rPr>
              <w:t>projektu, w jego części ogólnej.</w:t>
            </w:r>
          </w:p>
        </w:tc>
        <w:tc>
          <w:tcPr>
            <w:tcW w:w="3509" w:type="dxa"/>
            <w:shd w:val="clear" w:color="auto" w:fill="auto"/>
          </w:tcPr>
          <w:p w14:paraId="6E2F01C3" w14:textId="5B239ECB" w:rsidR="00962B9B" w:rsidRPr="00C2523C" w:rsidRDefault="00BE3D26">
            <w:pPr>
              <w:rPr>
                <w:rFonts w:cstheme="minorHAnsi"/>
                <w:sz w:val="24"/>
                <w:szCs w:val="24"/>
              </w:rPr>
            </w:pPr>
            <w:r w:rsidRPr="00C2523C">
              <w:rPr>
                <w:rFonts w:cstheme="minorHAnsi"/>
                <w:b/>
                <w:sz w:val="24"/>
                <w:szCs w:val="24"/>
              </w:rPr>
              <w:lastRenderedPageBreak/>
              <w:t>Uwag</w:t>
            </w:r>
            <w:r w:rsidR="00E05107" w:rsidRPr="00C2523C">
              <w:rPr>
                <w:rFonts w:cstheme="minorHAnsi"/>
                <w:b/>
                <w:sz w:val="24"/>
                <w:szCs w:val="24"/>
              </w:rPr>
              <w:t>a</w:t>
            </w:r>
            <w:r w:rsidRPr="00C2523C">
              <w:rPr>
                <w:rFonts w:cstheme="minorHAnsi"/>
                <w:b/>
                <w:sz w:val="24"/>
                <w:szCs w:val="24"/>
              </w:rPr>
              <w:t xml:space="preserve"> wyjaśnion</w:t>
            </w:r>
            <w:r w:rsidR="00E05107" w:rsidRPr="00C2523C">
              <w:rPr>
                <w:rFonts w:cstheme="minorHAnsi"/>
                <w:b/>
                <w:sz w:val="24"/>
                <w:szCs w:val="24"/>
              </w:rPr>
              <w:t>a</w:t>
            </w:r>
            <w:r w:rsidRPr="00C2523C">
              <w:rPr>
                <w:rFonts w:cstheme="minorHAnsi"/>
                <w:b/>
                <w:sz w:val="24"/>
                <w:szCs w:val="24"/>
              </w:rPr>
              <w:br/>
            </w:r>
            <w:r w:rsidRPr="00C2523C">
              <w:rPr>
                <w:rFonts w:cstheme="minorHAnsi"/>
                <w:sz w:val="24"/>
                <w:szCs w:val="24"/>
              </w:rPr>
              <w:t>Projektowany akt prawny znajduje się na styku dziedziny prawa telekomunikacyjnego i wyodrębniającego się materialnego prawa administracyjnego z zakresu cyberbezpieczeństwa.</w:t>
            </w:r>
            <w:r w:rsidR="0050461D" w:rsidRPr="00C2523C">
              <w:rPr>
                <w:rFonts w:cstheme="minorHAnsi"/>
                <w:sz w:val="24"/>
                <w:szCs w:val="24"/>
              </w:rPr>
              <w:t xml:space="preserve"> Z tego względu, a także ze względu na doniosłość materii regulowanej, zasadne jest</w:t>
            </w:r>
            <w:r w:rsidR="002E51B4" w:rsidRPr="00C2523C">
              <w:rPr>
                <w:rFonts w:cstheme="minorHAnsi"/>
                <w:sz w:val="24"/>
                <w:szCs w:val="24"/>
              </w:rPr>
              <w:t>,</w:t>
            </w:r>
            <w:r w:rsidR="0050461D" w:rsidRPr="00C2523C">
              <w:rPr>
                <w:rFonts w:cstheme="minorHAnsi"/>
                <w:sz w:val="24"/>
                <w:szCs w:val="24"/>
              </w:rPr>
              <w:t xml:space="preserve"> aby przepisy te </w:t>
            </w:r>
            <w:r w:rsidR="0050461D" w:rsidRPr="00C2523C">
              <w:rPr>
                <w:rFonts w:cstheme="minorHAnsi"/>
                <w:sz w:val="24"/>
                <w:szCs w:val="24"/>
              </w:rPr>
              <w:lastRenderedPageBreak/>
              <w:t>znalazły się w odrębnym akcie prawnym.</w:t>
            </w:r>
            <w:r w:rsidR="00E05107" w:rsidRPr="00C2523C">
              <w:rPr>
                <w:rFonts w:cstheme="minorHAnsi"/>
                <w:sz w:val="24"/>
                <w:szCs w:val="24"/>
              </w:rPr>
              <w:t xml:space="preserve"> </w:t>
            </w:r>
          </w:p>
          <w:p w14:paraId="3F42A010" w14:textId="77777777" w:rsidR="00F46B3A" w:rsidRPr="00C2523C" w:rsidRDefault="00F46B3A">
            <w:pPr>
              <w:rPr>
                <w:rFonts w:cstheme="minorHAnsi"/>
                <w:sz w:val="24"/>
                <w:szCs w:val="24"/>
              </w:rPr>
            </w:pPr>
          </w:p>
          <w:p w14:paraId="59D462B2" w14:textId="1A4845FF" w:rsidR="00F46B3A" w:rsidRPr="00C2523C" w:rsidRDefault="00A1331D">
            <w:pPr>
              <w:rPr>
                <w:rFonts w:cstheme="minorHAnsi"/>
                <w:sz w:val="24"/>
                <w:szCs w:val="24"/>
              </w:rPr>
            </w:pPr>
            <w:r w:rsidRPr="00C2523C">
              <w:rPr>
                <w:rFonts w:cstheme="minorHAnsi"/>
                <w:sz w:val="24"/>
                <w:szCs w:val="24"/>
              </w:rPr>
              <w:t>Odpowiednie p</w:t>
            </w:r>
            <w:r w:rsidR="00BE3D26" w:rsidRPr="00C2523C">
              <w:rPr>
                <w:rFonts w:cstheme="minorHAnsi"/>
                <w:sz w:val="24"/>
                <w:szCs w:val="24"/>
              </w:rPr>
              <w:t xml:space="preserve">rzepisy dotyczące nadużyć telekomunikacyjnych zostaną usunięte </w:t>
            </w:r>
            <w:r w:rsidR="00962B9B" w:rsidRPr="00C2523C">
              <w:rPr>
                <w:rFonts w:cstheme="minorHAnsi"/>
                <w:sz w:val="24"/>
                <w:szCs w:val="24"/>
              </w:rPr>
              <w:t xml:space="preserve">(lub przeniesione) </w:t>
            </w:r>
            <w:r w:rsidR="00BE3D26" w:rsidRPr="00C2523C">
              <w:rPr>
                <w:rFonts w:cstheme="minorHAnsi"/>
                <w:sz w:val="24"/>
                <w:szCs w:val="24"/>
              </w:rPr>
              <w:t>z ustawy</w:t>
            </w:r>
            <w:r w:rsidR="00EF167D" w:rsidRPr="00C2523C">
              <w:rPr>
                <w:rFonts w:cstheme="minorHAnsi"/>
                <w:sz w:val="24"/>
                <w:szCs w:val="24"/>
              </w:rPr>
              <w:t xml:space="preserve"> -</w:t>
            </w:r>
            <w:r w:rsidR="00BE3D26" w:rsidRPr="00C2523C">
              <w:rPr>
                <w:rFonts w:cstheme="minorHAnsi"/>
                <w:sz w:val="24"/>
                <w:szCs w:val="24"/>
              </w:rPr>
              <w:t xml:space="preserve"> Prawo komunikac</w:t>
            </w:r>
            <w:r w:rsidR="00FD7DAE" w:rsidRPr="00C2523C">
              <w:rPr>
                <w:rFonts w:cstheme="minorHAnsi"/>
                <w:sz w:val="24"/>
                <w:szCs w:val="24"/>
              </w:rPr>
              <w:t>ji</w:t>
            </w:r>
            <w:r w:rsidR="00BE3D26" w:rsidRPr="00C2523C">
              <w:rPr>
                <w:rFonts w:cstheme="minorHAnsi"/>
                <w:sz w:val="24"/>
                <w:szCs w:val="24"/>
              </w:rPr>
              <w:t xml:space="preserve"> elektronicznej na kole</w:t>
            </w:r>
            <w:r w:rsidRPr="00C2523C">
              <w:rPr>
                <w:rFonts w:cstheme="minorHAnsi"/>
                <w:sz w:val="24"/>
                <w:szCs w:val="24"/>
              </w:rPr>
              <w:t xml:space="preserve">jnym etapie prac legislacyjnych (zgodnie z projektem z 5 maja 2022 r. </w:t>
            </w:r>
            <w:r w:rsidR="00962B9B" w:rsidRPr="00C2523C">
              <w:rPr>
                <w:rFonts w:cstheme="minorHAnsi"/>
                <w:sz w:val="24"/>
                <w:szCs w:val="24"/>
              </w:rPr>
              <w:t xml:space="preserve">przepisem do usunięcia </w:t>
            </w:r>
            <w:r w:rsidRPr="00C2523C">
              <w:rPr>
                <w:rFonts w:cstheme="minorHAnsi"/>
                <w:sz w:val="24"/>
                <w:szCs w:val="24"/>
              </w:rPr>
              <w:t xml:space="preserve">jest </w:t>
            </w:r>
            <w:r w:rsidR="00962B9B" w:rsidRPr="00C2523C">
              <w:rPr>
                <w:rFonts w:cstheme="minorHAnsi"/>
                <w:sz w:val="24"/>
                <w:szCs w:val="24"/>
              </w:rPr>
              <w:t xml:space="preserve">m.in. </w:t>
            </w:r>
            <w:r w:rsidRPr="00C2523C">
              <w:rPr>
                <w:rFonts w:cstheme="minorHAnsi"/>
                <w:sz w:val="24"/>
                <w:szCs w:val="24"/>
              </w:rPr>
              <w:t>art. 173).</w:t>
            </w:r>
            <w:r w:rsidR="00BE3D26" w:rsidRPr="00C2523C">
              <w:rPr>
                <w:rFonts w:cstheme="minorHAnsi"/>
                <w:sz w:val="24"/>
                <w:szCs w:val="24"/>
              </w:rPr>
              <w:br/>
              <w:t xml:space="preserve">Art. 97 ust. 2 EKŁE odnosi się </w:t>
            </w:r>
            <w:r w:rsidR="00962B9B" w:rsidRPr="00C2523C">
              <w:rPr>
                <w:rFonts w:cstheme="minorHAnsi"/>
                <w:sz w:val="24"/>
                <w:szCs w:val="24"/>
              </w:rPr>
              <w:t xml:space="preserve">do </w:t>
            </w:r>
            <w:r w:rsidR="00BE3D26" w:rsidRPr="00C2523C">
              <w:rPr>
                <w:rFonts w:cstheme="minorHAnsi"/>
                <w:sz w:val="24"/>
                <w:szCs w:val="24"/>
              </w:rPr>
              <w:t>obowiązku zapewni</w:t>
            </w:r>
            <w:r w:rsidRPr="00C2523C">
              <w:rPr>
                <w:rFonts w:cstheme="minorHAnsi"/>
                <w:sz w:val="24"/>
                <w:szCs w:val="24"/>
              </w:rPr>
              <w:t>enia przez państwo członkowskie, aby właściwe organ/organ mógł/mogły wymagać od przedsiębiorców komunikacji elektronicznej zablokowania incydentalnego dostępu do numerów lub usług, gdy jest to związane z oszustwem lub nadużyciem. Wdrożenie rzeczonego przepisu EKŁE stanowi art. 343</w:t>
            </w:r>
            <w:r w:rsidR="00962B9B" w:rsidRPr="00C2523C">
              <w:rPr>
                <w:rFonts w:cstheme="minorHAnsi"/>
                <w:sz w:val="24"/>
                <w:szCs w:val="24"/>
              </w:rPr>
              <w:t xml:space="preserve">, który również zostanie </w:t>
            </w:r>
            <w:r w:rsidR="00BF72A3" w:rsidRPr="00C2523C">
              <w:rPr>
                <w:rFonts w:cstheme="minorHAnsi"/>
                <w:sz w:val="24"/>
                <w:szCs w:val="24"/>
              </w:rPr>
              <w:t>„</w:t>
            </w:r>
            <w:r w:rsidR="00962B9B" w:rsidRPr="00C2523C">
              <w:rPr>
                <w:rFonts w:cstheme="minorHAnsi"/>
                <w:sz w:val="24"/>
                <w:szCs w:val="24"/>
              </w:rPr>
              <w:t>przeniesiony</w:t>
            </w:r>
            <w:r w:rsidR="00BF72A3" w:rsidRPr="00C2523C">
              <w:rPr>
                <w:rFonts w:cstheme="minorHAnsi"/>
                <w:sz w:val="24"/>
                <w:szCs w:val="24"/>
              </w:rPr>
              <w:t>”</w:t>
            </w:r>
            <w:r w:rsidR="00962B9B" w:rsidRPr="00C2523C">
              <w:rPr>
                <w:rFonts w:cstheme="minorHAnsi"/>
                <w:sz w:val="24"/>
                <w:szCs w:val="24"/>
              </w:rPr>
              <w:t xml:space="preserve"> do projektowanej ustawy o zwalczaniu nadużyć w komunikacji elektronicznej</w:t>
            </w:r>
            <w:r w:rsidR="00BF72A3" w:rsidRPr="00C2523C">
              <w:rPr>
                <w:rFonts w:cstheme="minorHAnsi"/>
                <w:sz w:val="24"/>
                <w:szCs w:val="24"/>
              </w:rPr>
              <w:t xml:space="preserve"> w </w:t>
            </w:r>
            <w:r w:rsidR="00BF72A3" w:rsidRPr="00C2523C">
              <w:rPr>
                <w:rFonts w:cstheme="minorHAnsi"/>
                <w:sz w:val="24"/>
                <w:szCs w:val="24"/>
              </w:rPr>
              <w:lastRenderedPageBreak/>
              <w:t xml:space="preserve">zakresie w jakim Prezes UKE </w:t>
            </w:r>
            <w:r w:rsidR="00EF167D" w:rsidRPr="00C2523C">
              <w:rPr>
                <w:rFonts w:cstheme="minorHAnsi"/>
                <w:sz w:val="24"/>
                <w:szCs w:val="24"/>
              </w:rPr>
              <w:t xml:space="preserve">może </w:t>
            </w:r>
            <w:r w:rsidR="00BF72A3" w:rsidRPr="00C2523C">
              <w:rPr>
                <w:rFonts w:cstheme="minorHAnsi"/>
                <w:sz w:val="24"/>
                <w:szCs w:val="24"/>
              </w:rPr>
              <w:t>nakaza</w:t>
            </w:r>
            <w:r w:rsidR="00EF167D" w:rsidRPr="00C2523C">
              <w:rPr>
                <w:rFonts w:cstheme="minorHAnsi"/>
                <w:sz w:val="24"/>
                <w:szCs w:val="24"/>
              </w:rPr>
              <w:t>ć</w:t>
            </w:r>
            <w:r w:rsidR="00BF72A3" w:rsidRPr="00C2523C">
              <w:rPr>
                <w:rFonts w:cstheme="minorHAnsi"/>
                <w:sz w:val="24"/>
                <w:szCs w:val="24"/>
              </w:rPr>
              <w:t xml:space="preserve"> przedsiębiorcy telekomunikacyjnemu zablokowanie dostępu do numeru lub usługi oraz nałożyć obowiązek wstrzymania pobierania opłat za połączenia lub usługi zrealizowane po upływie tego terminu, gdy jest to uzasadnione ochroną użytkowników końcowych przed nadużyciami w komunikacji elektronicznej</w:t>
            </w:r>
          </w:p>
          <w:p w14:paraId="689D5977" w14:textId="0EAA73C7" w:rsidR="00F46B3A" w:rsidRPr="00C2523C" w:rsidRDefault="00BA5B05" w:rsidP="002F0E46">
            <w:pPr>
              <w:rPr>
                <w:rFonts w:cstheme="minorHAnsi"/>
                <w:sz w:val="24"/>
                <w:szCs w:val="24"/>
              </w:rPr>
            </w:pPr>
            <w:r w:rsidRPr="00C2523C">
              <w:rPr>
                <w:rFonts w:cstheme="minorHAnsi"/>
                <w:sz w:val="24"/>
                <w:szCs w:val="24"/>
              </w:rPr>
              <w:t xml:space="preserve">Ze względów formalnych projekt musi się odnosić do obecnie obowiązujących przepisów, tj. </w:t>
            </w:r>
            <w:r w:rsidR="00EF167D" w:rsidRPr="00C2523C">
              <w:rPr>
                <w:rFonts w:cstheme="minorHAnsi"/>
                <w:sz w:val="24"/>
                <w:szCs w:val="24"/>
              </w:rPr>
              <w:t xml:space="preserve">ustawy – </w:t>
            </w:r>
            <w:r w:rsidRPr="00C2523C">
              <w:rPr>
                <w:rFonts w:cstheme="minorHAnsi"/>
                <w:sz w:val="24"/>
                <w:szCs w:val="24"/>
              </w:rPr>
              <w:t>Praw</w:t>
            </w:r>
            <w:r w:rsidR="00EF167D" w:rsidRPr="00C2523C">
              <w:rPr>
                <w:rFonts w:cstheme="minorHAnsi"/>
                <w:sz w:val="24"/>
                <w:szCs w:val="24"/>
              </w:rPr>
              <w:t xml:space="preserve">o </w:t>
            </w:r>
            <w:r w:rsidRPr="00C2523C">
              <w:rPr>
                <w:rFonts w:cstheme="minorHAnsi"/>
                <w:sz w:val="24"/>
                <w:szCs w:val="24"/>
              </w:rPr>
              <w:t xml:space="preserve">telekomunikacyjne, natomiast projektodawca ma świadomość zaawansowanych prac nad nową ustawą zastępującą </w:t>
            </w:r>
            <w:r w:rsidR="00EF167D" w:rsidRPr="00C2523C">
              <w:rPr>
                <w:rFonts w:cstheme="minorHAnsi"/>
                <w:sz w:val="24"/>
                <w:szCs w:val="24"/>
              </w:rPr>
              <w:t>ustawę -</w:t>
            </w:r>
            <w:r w:rsidRPr="00C2523C">
              <w:rPr>
                <w:rFonts w:cstheme="minorHAnsi"/>
                <w:sz w:val="24"/>
                <w:szCs w:val="24"/>
              </w:rPr>
              <w:t xml:space="preserve">Prawo telekomunikacyjne, tj. </w:t>
            </w:r>
            <w:r w:rsidR="00EF167D" w:rsidRPr="00C2523C">
              <w:rPr>
                <w:rFonts w:cstheme="minorHAnsi"/>
                <w:sz w:val="24"/>
                <w:szCs w:val="24"/>
              </w:rPr>
              <w:t xml:space="preserve">projektem </w:t>
            </w:r>
            <w:r w:rsidRPr="00C2523C">
              <w:rPr>
                <w:rFonts w:cstheme="minorHAnsi"/>
                <w:sz w:val="24"/>
                <w:szCs w:val="24"/>
              </w:rPr>
              <w:t xml:space="preserve">ustawy </w:t>
            </w:r>
            <w:r w:rsidR="00EF167D" w:rsidRPr="00C2523C">
              <w:rPr>
                <w:rFonts w:cstheme="minorHAnsi"/>
                <w:sz w:val="24"/>
                <w:szCs w:val="24"/>
              </w:rPr>
              <w:t xml:space="preserve">- </w:t>
            </w:r>
            <w:r w:rsidRPr="00C2523C">
              <w:rPr>
                <w:rFonts w:cstheme="minorHAnsi"/>
                <w:sz w:val="24"/>
                <w:szCs w:val="24"/>
              </w:rPr>
              <w:t>Prawo komunikacji elektronicznej.</w:t>
            </w:r>
          </w:p>
          <w:p w14:paraId="496F1B8B" w14:textId="72D93EEE" w:rsidR="00F46B3A" w:rsidRPr="00C2523C" w:rsidRDefault="00962B9B" w:rsidP="00962B9B">
            <w:pPr>
              <w:autoSpaceDE w:val="0"/>
              <w:autoSpaceDN w:val="0"/>
              <w:adjustRightInd w:val="0"/>
              <w:rPr>
                <w:rFonts w:cstheme="minorHAnsi"/>
                <w:sz w:val="24"/>
                <w:szCs w:val="24"/>
              </w:rPr>
            </w:pPr>
            <w:r w:rsidRPr="00C2523C">
              <w:rPr>
                <w:rFonts w:cstheme="minorHAnsi"/>
                <w:sz w:val="24"/>
                <w:szCs w:val="24"/>
              </w:rPr>
              <w:t xml:space="preserve">Po analizie uwag RCL oraz MSUE wskazujemy, że przedmiotowy projekt wdraża przepisy europejskie (art. 97 ust. 2 EKŁE) i równocześnie zostanie uzupełniona dokumentacja o </w:t>
            </w:r>
            <w:r w:rsidRPr="00C2523C">
              <w:rPr>
                <w:rFonts w:cstheme="minorHAnsi"/>
                <w:sz w:val="24"/>
                <w:szCs w:val="24"/>
              </w:rPr>
              <w:lastRenderedPageBreak/>
              <w:t>dokumenty, o których mowa w § 30</w:t>
            </w:r>
            <w:r w:rsidR="00EF167D" w:rsidRPr="00C2523C">
              <w:rPr>
                <w:rFonts w:cstheme="minorHAnsi"/>
                <w:sz w:val="24"/>
                <w:szCs w:val="24"/>
              </w:rPr>
              <w:t xml:space="preserve"> -</w:t>
            </w:r>
            <w:r w:rsidRPr="00C2523C">
              <w:rPr>
                <w:rFonts w:cstheme="minorHAnsi"/>
                <w:sz w:val="24"/>
                <w:szCs w:val="24"/>
              </w:rPr>
              <w:t xml:space="preserve"> Regulaminu pracy Rady Ministrów.</w:t>
            </w:r>
          </w:p>
          <w:p w14:paraId="4983475B" w14:textId="3E40C984" w:rsidR="00F46B3A" w:rsidRPr="00C2523C" w:rsidRDefault="00EF167D" w:rsidP="00F46B3A">
            <w:pPr>
              <w:rPr>
                <w:rFonts w:cstheme="minorHAnsi"/>
                <w:sz w:val="24"/>
                <w:szCs w:val="24"/>
              </w:rPr>
            </w:pPr>
            <w:r w:rsidRPr="00C2523C">
              <w:rPr>
                <w:rFonts w:cstheme="minorHAnsi"/>
                <w:sz w:val="24"/>
                <w:szCs w:val="24"/>
              </w:rPr>
              <w:t>Ponadto, zgo</w:t>
            </w:r>
            <w:r w:rsidR="00F46B3A" w:rsidRPr="00C2523C">
              <w:rPr>
                <w:rFonts w:cstheme="minorHAnsi"/>
                <w:sz w:val="24"/>
                <w:szCs w:val="24"/>
              </w:rPr>
              <w:t>dnie ze wskazaniem RCL, zostało uzupełnione uzasadnienie.</w:t>
            </w:r>
            <w:r w:rsidR="00F46B3A" w:rsidRPr="00C2523C">
              <w:rPr>
                <w:rFonts w:cstheme="minorHAnsi"/>
                <w:sz w:val="24"/>
                <w:szCs w:val="24"/>
              </w:rPr>
              <w:br/>
            </w:r>
          </w:p>
          <w:p w14:paraId="468077DE" w14:textId="77777777" w:rsidR="00F46B3A" w:rsidRPr="00C2523C" w:rsidRDefault="00F46B3A" w:rsidP="00962B9B">
            <w:pPr>
              <w:autoSpaceDE w:val="0"/>
              <w:autoSpaceDN w:val="0"/>
              <w:adjustRightInd w:val="0"/>
              <w:rPr>
                <w:rFonts w:cstheme="minorHAnsi"/>
                <w:sz w:val="24"/>
                <w:szCs w:val="24"/>
              </w:rPr>
            </w:pPr>
          </w:p>
          <w:p w14:paraId="3FA13B5D" w14:textId="58B8E81B" w:rsidR="00A1331D" w:rsidRPr="00C2523C" w:rsidRDefault="00A1331D">
            <w:pPr>
              <w:rPr>
                <w:rFonts w:cstheme="minorHAnsi"/>
                <w:sz w:val="24"/>
                <w:szCs w:val="24"/>
              </w:rPr>
            </w:pPr>
          </w:p>
          <w:p w14:paraId="166DB580" w14:textId="19182044" w:rsidR="00BF24F1" w:rsidRPr="00C2523C" w:rsidRDefault="00BF24F1">
            <w:pPr>
              <w:rPr>
                <w:rFonts w:cstheme="minorHAnsi"/>
                <w:b/>
                <w:sz w:val="24"/>
                <w:szCs w:val="24"/>
              </w:rPr>
            </w:pPr>
          </w:p>
        </w:tc>
      </w:tr>
      <w:tr w:rsidR="00C2523C" w:rsidRPr="00C2523C" w14:paraId="7ADC7AD8" w14:textId="77777777" w:rsidTr="002F0E46">
        <w:tc>
          <w:tcPr>
            <w:tcW w:w="762" w:type="dxa"/>
            <w:gridSpan w:val="2"/>
          </w:tcPr>
          <w:p w14:paraId="43A945A5" w14:textId="495FBA4A"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4FE1A800" w14:textId="6D7E293B"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1EF6F8C5" w14:textId="305346DB" w:rsidR="00BF24F1" w:rsidRPr="00C2523C" w:rsidRDefault="00BF24F1" w:rsidP="00277373">
            <w:pPr>
              <w:rPr>
                <w:rFonts w:cstheme="minorHAnsi"/>
                <w:sz w:val="24"/>
                <w:szCs w:val="24"/>
              </w:rPr>
            </w:pPr>
            <w:r w:rsidRPr="00C2523C">
              <w:rPr>
                <w:rFonts w:cstheme="minorHAnsi"/>
                <w:sz w:val="24"/>
                <w:szCs w:val="24"/>
              </w:rPr>
              <w:t>Tytuł ustawy</w:t>
            </w:r>
          </w:p>
        </w:tc>
        <w:tc>
          <w:tcPr>
            <w:tcW w:w="7229" w:type="dxa"/>
          </w:tcPr>
          <w:p w14:paraId="03B25F35" w14:textId="48AD3AC3" w:rsidR="00BF24F1" w:rsidRPr="00C2523C" w:rsidRDefault="00BF24F1" w:rsidP="005C059A">
            <w:pPr>
              <w:autoSpaceDE w:val="0"/>
              <w:autoSpaceDN w:val="0"/>
              <w:adjustRightInd w:val="0"/>
              <w:rPr>
                <w:rFonts w:cstheme="minorHAnsi"/>
                <w:sz w:val="24"/>
                <w:szCs w:val="24"/>
              </w:rPr>
            </w:pPr>
            <w:r w:rsidRPr="00C2523C">
              <w:rPr>
                <w:rFonts w:cstheme="minorHAnsi"/>
                <w:sz w:val="24"/>
                <w:szCs w:val="24"/>
              </w:rPr>
              <w:t>z przepisu art. 1, a także z kolejnych przepisów przedstawionego projektu ustawy</w:t>
            </w:r>
            <w:r w:rsidR="00DE5070" w:rsidRPr="00C2523C">
              <w:rPr>
                <w:rFonts w:cstheme="minorHAnsi"/>
                <w:sz w:val="24"/>
                <w:szCs w:val="24"/>
              </w:rPr>
              <w:t xml:space="preserve"> </w:t>
            </w:r>
            <w:r w:rsidRPr="00C2523C">
              <w:rPr>
                <w:rFonts w:cstheme="minorHAnsi"/>
                <w:sz w:val="24"/>
                <w:szCs w:val="24"/>
              </w:rPr>
              <w:t>wynika, że projekt ten reguluje kwestie zarówno zwalczania nadużyć w komunikacji</w:t>
            </w:r>
            <w:r w:rsidR="00DE5070" w:rsidRPr="00C2523C">
              <w:rPr>
                <w:rFonts w:cstheme="minorHAnsi"/>
                <w:sz w:val="24"/>
                <w:szCs w:val="24"/>
              </w:rPr>
              <w:t xml:space="preserve"> </w:t>
            </w:r>
            <w:r w:rsidRPr="00C2523C">
              <w:rPr>
                <w:rFonts w:cstheme="minorHAnsi"/>
                <w:sz w:val="24"/>
                <w:szCs w:val="24"/>
              </w:rPr>
              <w:t xml:space="preserve">elektronicznej jak i zapobiegania tym </w:t>
            </w:r>
            <w:r w:rsidRPr="00C2523C">
              <w:rPr>
                <w:rFonts w:cstheme="minorHAnsi"/>
                <w:sz w:val="24"/>
                <w:szCs w:val="24"/>
              </w:rPr>
              <w:lastRenderedPageBreak/>
              <w:t>nadużyciom. Wobec powyższego, mając na uwadze</w:t>
            </w:r>
            <w:r w:rsidR="00DE5070" w:rsidRPr="00C2523C">
              <w:rPr>
                <w:rFonts w:cstheme="minorHAnsi"/>
                <w:sz w:val="24"/>
                <w:szCs w:val="24"/>
              </w:rPr>
              <w:t xml:space="preserve"> </w:t>
            </w:r>
            <w:r w:rsidRPr="00C2523C">
              <w:rPr>
                <w:rFonts w:cstheme="minorHAnsi"/>
                <w:sz w:val="24"/>
                <w:szCs w:val="24"/>
              </w:rPr>
              <w:t>§ 18 Zasad techniki prawodawczej, zgodnie z którym przedmiot ustawy określa się możliwie</w:t>
            </w:r>
            <w:r w:rsidR="00DE5070" w:rsidRPr="00C2523C">
              <w:rPr>
                <w:rFonts w:cstheme="minorHAnsi"/>
                <w:sz w:val="24"/>
                <w:szCs w:val="24"/>
              </w:rPr>
              <w:t xml:space="preserve"> </w:t>
            </w:r>
            <w:r w:rsidRPr="00C2523C">
              <w:rPr>
                <w:rFonts w:cstheme="minorHAnsi"/>
                <w:sz w:val="24"/>
                <w:szCs w:val="24"/>
              </w:rPr>
              <w:t>najzwięźlej, jednakże w sposób adekwatnie informujący o jej treści, proponuje się rozważenie</w:t>
            </w:r>
            <w:r w:rsidR="00DE5070" w:rsidRPr="00C2523C">
              <w:rPr>
                <w:rFonts w:cstheme="minorHAnsi"/>
                <w:sz w:val="24"/>
                <w:szCs w:val="24"/>
              </w:rPr>
              <w:t xml:space="preserve"> </w:t>
            </w:r>
            <w:r w:rsidRPr="00C2523C">
              <w:rPr>
                <w:rFonts w:cstheme="minorHAnsi"/>
                <w:sz w:val="24"/>
                <w:szCs w:val="24"/>
              </w:rPr>
              <w:t>zmiany przedmiotu ustawy w tytule przez jego uzupełnienie o element „zapobiegania”</w:t>
            </w:r>
            <w:r w:rsidR="00FB3B85" w:rsidRPr="00C2523C">
              <w:rPr>
                <w:rFonts w:cstheme="minorHAnsi"/>
                <w:sz w:val="24"/>
                <w:szCs w:val="24"/>
              </w:rPr>
              <w:t xml:space="preserve"> </w:t>
            </w:r>
            <w:r w:rsidRPr="00C2523C">
              <w:rPr>
                <w:rFonts w:cstheme="minorHAnsi"/>
                <w:sz w:val="24"/>
                <w:szCs w:val="24"/>
              </w:rPr>
              <w:t>nadużyciom, bądź uogólnienie tego przedmiotu ustawy przez nadanie mu brzmienia</w:t>
            </w:r>
            <w:r w:rsidR="00DE5070" w:rsidRPr="00C2523C">
              <w:rPr>
                <w:rFonts w:cstheme="minorHAnsi"/>
                <w:sz w:val="24"/>
                <w:szCs w:val="24"/>
              </w:rPr>
              <w:t xml:space="preserve"> </w:t>
            </w:r>
            <w:r w:rsidRPr="00C2523C">
              <w:rPr>
                <w:rFonts w:cstheme="minorHAnsi"/>
                <w:sz w:val="24"/>
                <w:szCs w:val="24"/>
              </w:rPr>
              <w:t>„o nadużyciach w komunikacji elektronicznej”;</w:t>
            </w:r>
          </w:p>
        </w:tc>
        <w:tc>
          <w:tcPr>
            <w:tcW w:w="3509" w:type="dxa"/>
          </w:tcPr>
          <w:p w14:paraId="52E4B52F" w14:textId="77777777" w:rsidR="007749C3" w:rsidRPr="00C2523C" w:rsidRDefault="007749C3" w:rsidP="00277373">
            <w:pPr>
              <w:rPr>
                <w:rFonts w:cstheme="minorHAnsi"/>
                <w:b/>
                <w:sz w:val="24"/>
                <w:szCs w:val="24"/>
              </w:rPr>
            </w:pPr>
            <w:r w:rsidRPr="00C2523C">
              <w:rPr>
                <w:rFonts w:cstheme="minorHAnsi"/>
                <w:b/>
                <w:sz w:val="24"/>
                <w:szCs w:val="24"/>
              </w:rPr>
              <w:lastRenderedPageBreak/>
              <w:t>Uwaga wyjaśniona</w:t>
            </w:r>
          </w:p>
          <w:p w14:paraId="6CFB2C39" w14:textId="6F7D5513" w:rsidR="00BF24F1" w:rsidRPr="00C2523C" w:rsidRDefault="00E834F2" w:rsidP="00E834F2">
            <w:pPr>
              <w:rPr>
                <w:rFonts w:cstheme="minorHAnsi"/>
                <w:sz w:val="24"/>
                <w:szCs w:val="24"/>
              </w:rPr>
            </w:pPr>
            <w:r w:rsidRPr="00C2523C">
              <w:rPr>
                <w:rFonts w:cstheme="minorHAnsi"/>
                <w:sz w:val="24"/>
                <w:szCs w:val="24"/>
              </w:rPr>
              <w:t>P</w:t>
            </w:r>
            <w:r w:rsidR="007749C3" w:rsidRPr="00C2523C">
              <w:rPr>
                <w:rFonts w:cstheme="minorHAnsi"/>
                <w:sz w:val="24"/>
                <w:szCs w:val="24"/>
              </w:rPr>
              <w:t xml:space="preserve">rzepisy ustawy rozróżniają pojęcia </w:t>
            </w:r>
            <w:r w:rsidRPr="00C2523C">
              <w:rPr>
                <w:rFonts w:cstheme="minorHAnsi"/>
                <w:sz w:val="24"/>
                <w:szCs w:val="24"/>
              </w:rPr>
              <w:t xml:space="preserve">„zapobieganie” oraz </w:t>
            </w:r>
            <w:r w:rsidRPr="00C2523C">
              <w:rPr>
                <w:rFonts w:cstheme="minorHAnsi"/>
                <w:sz w:val="24"/>
                <w:szCs w:val="24"/>
              </w:rPr>
              <w:lastRenderedPageBreak/>
              <w:t xml:space="preserve">„zwalczanie”, </w:t>
            </w:r>
            <w:r w:rsidR="007749C3" w:rsidRPr="00C2523C">
              <w:rPr>
                <w:rFonts w:cstheme="minorHAnsi"/>
                <w:sz w:val="24"/>
                <w:szCs w:val="24"/>
              </w:rPr>
              <w:t xml:space="preserve">biorąc pod uwagę, że </w:t>
            </w:r>
            <w:r w:rsidRPr="00C2523C">
              <w:rPr>
                <w:rFonts w:cstheme="minorHAnsi"/>
                <w:sz w:val="24"/>
                <w:szCs w:val="24"/>
              </w:rPr>
              <w:t xml:space="preserve">przepisy te </w:t>
            </w:r>
            <w:r w:rsidR="007749C3" w:rsidRPr="00C2523C">
              <w:rPr>
                <w:rFonts w:cstheme="minorHAnsi"/>
                <w:sz w:val="24"/>
                <w:szCs w:val="24"/>
              </w:rPr>
              <w:t>zawierają rozwiązania zarówno o charakterze prewencyjnym (zapobiegawczym, zmniejszającym występowanie negatywnego zjawiska nadużyć)</w:t>
            </w:r>
            <w:r w:rsidRPr="00C2523C">
              <w:rPr>
                <w:rFonts w:cstheme="minorHAnsi"/>
                <w:sz w:val="24"/>
                <w:szCs w:val="24"/>
              </w:rPr>
              <w:t>,</w:t>
            </w:r>
            <w:r w:rsidR="007749C3" w:rsidRPr="00C2523C">
              <w:rPr>
                <w:rFonts w:cstheme="minorHAnsi"/>
                <w:sz w:val="24"/>
                <w:szCs w:val="24"/>
              </w:rPr>
              <w:t xml:space="preserve"> jak i następczym. O ile rozróżnienie tych terminów na gruncie poszczególnych norm prawnych jest uzasadnione, o tyle obecny tytuł ustawy odnoszący się do zwalczania nadużyć w komunikacji elektronicznej jest zarazem możliwie jak najbardziej zwięzły, jednocześnie oddaje odpowiednio precyzyjnie przedmiot regulacji.</w:t>
            </w:r>
          </w:p>
        </w:tc>
      </w:tr>
      <w:tr w:rsidR="00C2523C" w:rsidRPr="00C2523C" w14:paraId="123DCBD0" w14:textId="77777777" w:rsidTr="002F0E46">
        <w:tc>
          <w:tcPr>
            <w:tcW w:w="762" w:type="dxa"/>
            <w:gridSpan w:val="2"/>
          </w:tcPr>
          <w:p w14:paraId="46799CA3" w14:textId="2B07BE44"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427AED36" w14:textId="1DDCAE94"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00EAFBD9" w14:textId="27E351F6" w:rsidR="00BF24F1" w:rsidRPr="00C2523C" w:rsidRDefault="00BF24F1" w:rsidP="00277373">
            <w:pPr>
              <w:rPr>
                <w:rFonts w:cstheme="minorHAnsi"/>
                <w:sz w:val="24"/>
                <w:szCs w:val="24"/>
              </w:rPr>
            </w:pPr>
            <w:r w:rsidRPr="00C2523C">
              <w:rPr>
                <w:rFonts w:cstheme="minorHAnsi"/>
                <w:sz w:val="24"/>
                <w:szCs w:val="24"/>
              </w:rPr>
              <w:t>Art. 2 pkt 2</w:t>
            </w:r>
          </w:p>
        </w:tc>
        <w:tc>
          <w:tcPr>
            <w:tcW w:w="7229" w:type="dxa"/>
          </w:tcPr>
          <w:p w14:paraId="51CC7565" w14:textId="21816E9B" w:rsidR="00BF24F1" w:rsidRPr="00C2523C" w:rsidRDefault="00BF24F1" w:rsidP="005C059A">
            <w:pPr>
              <w:autoSpaceDE w:val="0"/>
              <w:autoSpaceDN w:val="0"/>
              <w:adjustRightInd w:val="0"/>
              <w:rPr>
                <w:rFonts w:cstheme="minorHAnsi"/>
                <w:sz w:val="24"/>
                <w:szCs w:val="24"/>
              </w:rPr>
            </w:pPr>
            <w:r w:rsidRPr="00C2523C">
              <w:rPr>
                <w:rFonts w:cstheme="minorHAnsi"/>
                <w:sz w:val="24"/>
                <w:szCs w:val="24"/>
              </w:rPr>
              <w:t>zgodnie z art. 2 pkt 2 projektu dostawcą poczty elektronicznej jest osoba fizyczna,</w:t>
            </w:r>
            <w:r w:rsidR="00DE5070" w:rsidRPr="00C2523C">
              <w:rPr>
                <w:rFonts w:cstheme="minorHAnsi"/>
                <w:sz w:val="24"/>
                <w:szCs w:val="24"/>
              </w:rPr>
              <w:t xml:space="preserve"> </w:t>
            </w:r>
            <w:r w:rsidRPr="00C2523C">
              <w:rPr>
                <w:rFonts w:cstheme="minorHAnsi"/>
                <w:sz w:val="24"/>
                <w:szCs w:val="24"/>
              </w:rPr>
              <w:t>osoba prawna albo jednostka organizacyjna nieposiadająca osobowości prawnej, która</w:t>
            </w:r>
            <w:r w:rsidR="00DE5070" w:rsidRPr="00C2523C">
              <w:rPr>
                <w:rFonts w:cstheme="minorHAnsi"/>
                <w:sz w:val="24"/>
                <w:szCs w:val="24"/>
              </w:rPr>
              <w:t xml:space="preserve"> </w:t>
            </w:r>
            <w:r w:rsidRPr="00C2523C">
              <w:rPr>
                <w:rFonts w:cstheme="minorHAnsi"/>
                <w:sz w:val="24"/>
                <w:szCs w:val="24"/>
              </w:rPr>
              <w:t xml:space="preserve">prowadząc, chociażby ubocznie, działalność zarobkową lub zawodową świadczy </w:t>
            </w:r>
            <w:r w:rsidRPr="00C2523C">
              <w:rPr>
                <w:rFonts w:cstheme="minorHAnsi"/>
                <w:sz w:val="24"/>
                <w:szCs w:val="24"/>
                <w:u w:val="single"/>
              </w:rPr>
              <w:t>usługę</w:t>
            </w:r>
            <w:r w:rsidR="00DE5070" w:rsidRPr="00C2523C">
              <w:rPr>
                <w:rFonts w:cstheme="minorHAnsi"/>
                <w:sz w:val="24"/>
                <w:szCs w:val="24"/>
                <w:u w:val="single"/>
              </w:rPr>
              <w:t xml:space="preserve"> </w:t>
            </w:r>
            <w:r w:rsidRPr="00C2523C">
              <w:rPr>
                <w:rFonts w:cstheme="minorHAnsi"/>
                <w:sz w:val="24"/>
                <w:szCs w:val="24"/>
                <w:u w:val="single"/>
              </w:rPr>
              <w:t>poczty elektronicznej.</w:t>
            </w:r>
            <w:r w:rsidRPr="00C2523C">
              <w:rPr>
                <w:rFonts w:cstheme="minorHAnsi"/>
                <w:sz w:val="24"/>
                <w:szCs w:val="24"/>
              </w:rPr>
              <w:t xml:space="preserve"> Zauważyć jednak należy, że przedmiotowy projekt nie definiuje</w:t>
            </w:r>
            <w:r w:rsidR="00DE5070" w:rsidRPr="00C2523C">
              <w:rPr>
                <w:rFonts w:cstheme="minorHAnsi"/>
                <w:sz w:val="24"/>
                <w:szCs w:val="24"/>
              </w:rPr>
              <w:t xml:space="preserve"> </w:t>
            </w:r>
            <w:r w:rsidRPr="00C2523C">
              <w:rPr>
                <w:rFonts w:cstheme="minorHAnsi"/>
                <w:sz w:val="24"/>
                <w:szCs w:val="24"/>
              </w:rPr>
              <w:t>„usługi poczty elektronicznej”, a jedynie „pocztę elektroniczną”, co wymaga niezbędnej</w:t>
            </w:r>
            <w:r w:rsidR="00DE5070" w:rsidRPr="00C2523C">
              <w:rPr>
                <w:rFonts w:cstheme="minorHAnsi"/>
                <w:sz w:val="24"/>
                <w:szCs w:val="24"/>
              </w:rPr>
              <w:t xml:space="preserve"> </w:t>
            </w:r>
            <w:r w:rsidRPr="00C2523C">
              <w:rPr>
                <w:rFonts w:cstheme="minorHAnsi"/>
                <w:sz w:val="24"/>
                <w:szCs w:val="24"/>
              </w:rPr>
              <w:t>korekty;</w:t>
            </w:r>
          </w:p>
        </w:tc>
        <w:tc>
          <w:tcPr>
            <w:tcW w:w="3509" w:type="dxa"/>
          </w:tcPr>
          <w:p w14:paraId="79E98E85" w14:textId="77777777" w:rsidR="00BF24F1" w:rsidRPr="00C2523C" w:rsidRDefault="00E709E0">
            <w:pPr>
              <w:rPr>
                <w:rFonts w:cstheme="minorHAnsi"/>
                <w:sz w:val="24"/>
                <w:szCs w:val="24"/>
              </w:rPr>
            </w:pPr>
            <w:r w:rsidRPr="00C2523C">
              <w:rPr>
                <w:rFonts w:cstheme="minorHAnsi"/>
                <w:b/>
                <w:sz w:val="24"/>
                <w:szCs w:val="24"/>
              </w:rPr>
              <w:t xml:space="preserve">Uwaga </w:t>
            </w:r>
            <w:r w:rsidR="001320FB" w:rsidRPr="00C2523C">
              <w:rPr>
                <w:rFonts w:cstheme="minorHAnsi"/>
                <w:b/>
                <w:sz w:val="24"/>
                <w:szCs w:val="24"/>
              </w:rPr>
              <w:t>uwzględniona</w:t>
            </w:r>
            <w:r w:rsidRPr="00C2523C">
              <w:rPr>
                <w:rFonts w:cstheme="minorHAnsi"/>
                <w:b/>
                <w:sz w:val="24"/>
                <w:szCs w:val="24"/>
              </w:rPr>
              <w:br/>
            </w:r>
            <w:r w:rsidR="001320FB" w:rsidRPr="00C2523C">
              <w:rPr>
                <w:rFonts w:cstheme="minorHAnsi"/>
                <w:sz w:val="24"/>
                <w:szCs w:val="24"/>
              </w:rPr>
              <w:t xml:space="preserve">Przy definicji „dostawcy poczty elektronicznej” usuwa się zbędne słowo „usługę”, gdyż „poczta elektroniczna” jest definiowana jako „usługa”. </w:t>
            </w:r>
          </w:p>
          <w:p w14:paraId="62A1F14D" w14:textId="75EA2BB5" w:rsidR="00E05107" w:rsidRPr="00C2523C" w:rsidRDefault="00E05107">
            <w:pPr>
              <w:rPr>
                <w:rFonts w:cstheme="minorHAnsi"/>
                <w:sz w:val="24"/>
                <w:szCs w:val="24"/>
              </w:rPr>
            </w:pPr>
            <w:r w:rsidRPr="00C2523C">
              <w:rPr>
                <w:rFonts w:cstheme="minorHAnsi"/>
                <w:sz w:val="24"/>
                <w:szCs w:val="24"/>
              </w:rPr>
              <w:t>Przepis zostanie przeredagowany.</w:t>
            </w:r>
          </w:p>
        </w:tc>
      </w:tr>
      <w:tr w:rsidR="00C2523C" w:rsidRPr="00C2523C" w14:paraId="550691DF" w14:textId="77777777" w:rsidTr="002F0E46">
        <w:tc>
          <w:tcPr>
            <w:tcW w:w="762" w:type="dxa"/>
            <w:gridSpan w:val="2"/>
          </w:tcPr>
          <w:p w14:paraId="03990333" w14:textId="77777777"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201C5C6C" w14:textId="3B77EA14"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7B126B1B" w14:textId="12B39796" w:rsidR="00BF24F1" w:rsidRPr="00C2523C" w:rsidRDefault="00BF24F1" w:rsidP="00277373">
            <w:pPr>
              <w:rPr>
                <w:rFonts w:cstheme="minorHAnsi"/>
                <w:sz w:val="24"/>
                <w:szCs w:val="24"/>
              </w:rPr>
            </w:pPr>
            <w:r w:rsidRPr="00C2523C">
              <w:rPr>
                <w:rFonts w:cstheme="minorHAnsi"/>
                <w:sz w:val="24"/>
                <w:szCs w:val="24"/>
              </w:rPr>
              <w:t>Art. 2 pkt 3</w:t>
            </w:r>
          </w:p>
        </w:tc>
        <w:tc>
          <w:tcPr>
            <w:tcW w:w="7229" w:type="dxa"/>
          </w:tcPr>
          <w:p w14:paraId="0CA3DCC7" w14:textId="220ED56D" w:rsidR="00BF24F1" w:rsidRPr="00C2523C" w:rsidRDefault="00BF24F1" w:rsidP="005C059A">
            <w:pPr>
              <w:autoSpaceDE w:val="0"/>
              <w:autoSpaceDN w:val="0"/>
              <w:adjustRightInd w:val="0"/>
              <w:rPr>
                <w:rFonts w:cstheme="minorHAnsi"/>
                <w:sz w:val="24"/>
                <w:szCs w:val="24"/>
              </w:rPr>
            </w:pPr>
            <w:r w:rsidRPr="00C2523C">
              <w:rPr>
                <w:rFonts w:cstheme="minorHAnsi"/>
                <w:sz w:val="24"/>
                <w:szCs w:val="24"/>
              </w:rPr>
              <w:t>w przypadku definicji zawartej w art. 2 pkt 3 projektu, dotyczącej „komunikatu</w:t>
            </w:r>
            <w:r w:rsidR="00FB3B85" w:rsidRPr="00C2523C">
              <w:rPr>
                <w:rFonts w:cstheme="minorHAnsi"/>
                <w:sz w:val="24"/>
                <w:szCs w:val="24"/>
              </w:rPr>
              <w:t xml:space="preserve"> </w:t>
            </w:r>
            <w:r w:rsidRPr="00C2523C">
              <w:rPr>
                <w:rFonts w:cstheme="minorHAnsi"/>
                <w:sz w:val="24"/>
                <w:szCs w:val="24"/>
              </w:rPr>
              <w:t>elektronicznego”, zauważyć należy, że definicja ta pokrywa się z definicją „komunikatu”</w:t>
            </w:r>
            <w:r w:rsidR="00FB3B85" w:rsidRPr="00C2523C">
              <w:rPr>
                <w:rFonts w:cstheme="minorHAnsi"/>
                <w:sz w:val="24"/>
                <w:szCs w:val="24"/>
              </w:rPr>
              <w:t xml:space="preserve"> </w:t>
            </w:r>
            <w:r w:rsidRPr="00C2523C">
              <w:rPr>
                <w:rFonts w:cstheme="minorHAnsi"/>
                <w:sz w:val="24"/>
                <w:szCs w:val="24"/>
              </w:rPr>
              <w:t xml:space="preserve">zawartą w ustawie – Prawo </w:t>
            </w:r>
            <w:r w:rsidRPr="00C2523C">
              <w:rPr>
                <w:rFonts w:cstheme="minorHAnsi"/>
                <w:sz w:val="24"/>
                <w:szCs w:val="24"/>
              </w:rPr>
              <w:lastRenderedPageBreak/>
              <w:t>telekomunikacyjne (art. 2 pkt 17), uzupełnioną jedynie o element</w:t>
            </w:r>
            <w:r w:rsidR="00FB3B85" w:rsidRPr="00C2523C">
              <w:rPr>
                <w:rFonts w:cstheme="minorHAnsi"/>
                <w:sz w:val="24"/>
                <w:szCs w:val="24"/>
              </w:rPr>
              <w:t xml:space="preserve"> </w:t>
            </w:r>
            <w:r w:rsidRPr="00C2523C">
              <w:rPr>
                <w:rFonts w:cstheme="minorHAnsi"/>
                <w:sz w:val="24"/>
                <w:szCs w:val="24"/>
              </w:rPr>
              <w:t>„usług komunikacji interpersonalnej niewykorzystujących numerów”. Mając na uwadze</w:t>
            </w:r>
            <w:r w:rsidR="00FB3B85" w:rsidRPr="00C2523C">
              <w:rPr>
                <w:rFonts w:cstheme="minorHAnsi"/>
                <w:sz w:val="24"/>
                <w:szCs w:val="24"/>
              </w:rPr>
              <w:t xml:space="preserve"> </w:t>
            </w:r>
            <w:r w:rsidRPr="00C2523C">
              <w:rPr>
                <w:rFonts w:cstheme="minorHAnsi"/>
                <w:sz w:val="24"/>
                <w:szCs w:val="24"/>
              </w:rPr>
              <w:t>przepis § 9 Zasad techniki prawodawczej, zgodnie z którym w ustawie należy się posługiwać</w:t>
            </w:r>
            <w:r w:rsidR="00FB3B85" w:rsidRPr="00C2523C">
              <w:rPr>
                <w:rFonts w:cstheme="minorHAnsi"/>
                <w:sz w:val="24"/>
                <w:szCs w:val="24"/>
              </w:rPr>
              <w:t xml:space="preserve"> </w:t>
            </w:r>
            <w:r w:rsidRPr="00C2523C">
              <w:rPr>
                <w:rFonts w:cstheme="minorHAnsi"/>
                <w:sz w:val="24"/>
                <w:szCs w:val="24"/>
              </w:rPr>
              <w:t>określeniami, które zostały użyte w ustawie podstawowej dla danej dziedziny spraw,</w:t>
            </w:r>
            <w:r w:rsidR="00FB3B85" w:rsidRPr="00C2523C">
              <w:rPr>
                <w:rFonts w:cstheme="minorHAnsi"/>
                <w:sz w:val="24"/>
                <w:szCs w:val="24"/>
              </w:rPr>
              <w:t xml:space="preserve"> </w:t>
            </w:r>
            <w:r w:rsidRPr="00C2523C">
              <w:rPr>
                <w:rFonts w:cstheme="minorHAnsi"/>
                <w:sz w:val="24"/>
                <w:szCs w:val="24"/>
              </w:rPr>
              <w:t>w szczególności w ustawie określanej jako „kodeks” lub „prawo”, definicja „komunikatu</w:t>
            </w:r>
            <w:r w:rsidR="00FB3B85" w:rsidRPr="00C2523C">
              <w:rPr>
                <w:rFonts w:cstheme="minorHAnsi"/>
                <w:sz w:val="24"/>
                <w:szCs w:val="24"/>
              </w:rPr>
              <w:t xml:space="preserve"> </w:t>
            </w:r>
            <w:r w:rsidRPr="00C2523C">
              <w:rPr>
                <w:rFonts w:cstheme="minorHAnsi"/>
                <w:sz w:val="24"/>
                <w:szCs w:val="24"/>
              </w:rPr>
              <w:t>elektronicznego” wymaga przeredagowania, przez odesłanie do definicji zawartej w ustawie –</w:t>
            </w:r>
            <w:r w:rsidR="00FB3B85" w:rsidRPr="00C2523C">
              <w:rPr>
                <w:rFonts w:cstheme="minorHAnsi"/>
                <w:sz w:val="24"/>
                <w:szCs w:val="24"/>
              </w:rPr>
              <w:t xml:space="preserve"> </w:t>
            </w:r>
            <w:r w:rsidRPr="00C2523C">
              <w:rPr>
                <w:rFonts w:cstheme="minorHAnsi"/>
                <w:sz w:val="24"/>
                <w:szCs w:val="24"/>
              </w:rPr>
              <w:t>Prawo telekomunikacyjne;</w:t>
            </w:r>
          </w:p>
        </w:tc>
        <w:tc>
          <w:tcPr>
            <w:tcW w:w="3509" w:type="dxa"/>
          </w:tcPr>
          <w:p w14:paraId="0E27BE70" w14:textId="42C796DF" w:rsidR="00DE5070" w:rsidRPr="00C2523C" w:rsidRDefault="00E709E0" w:rsidP="00277373">
            <w:pPr>
              <w:rPr>
                <w:rFonts w:cstheme="minorHAnsi"/>
                <w:b/>
                <w:sz w:val="24"/>
                <w:szCs w:val="24"/>
              </w:rPr>
            </w:pPr>
            <w:r w:rsidRPr="00C2523C">
              <w:rPr>
                <w:rFonts w:cstheme="minorHAnsi"/>
                <w:b/>
                <w:sz w:val="24"/>
                <w:szCs w:val="24"/>
              </w:rPr>
              <w:lastRenderedPageBreak/>
              <w:t xml:space="preserve">Uwaga </w:t>
            </w:r>
            <w:r w:rsidR="00F86531" w:rsidRPr="00C2523C">
              <w:rPr>
                <w:rFonts w:cstheme="minorHAnsi"/>
                <w:b/>
                <w:sz w:val="24"/>
                <w:szCs w:val="24"/>
              </w:rPr>
              <w:t>uwzględniona</w:t>
            </w:r>
          </w:p>
          <w:p w14:paraId="05597C6A" w14:textId="3AF4B812" w:rsidR="00BF24F1" w:rsidRPr="00C2523C" w:rsidRDefault="00F86531" w:rsidP="00277373">
            <w:pPr>
              <w:rPr>
                <w:rFonts w:cstheme="minorHAnsi"/>
                <w:sz w:val="24"/>
                <w:szCs w:val="24"/>
              </w:rPr>
            </w:pPr>
            <w:r w:rsidRPr="00C2523C">
              <w:rPr>
                <w:rFonts w:cstheme="minorHAnsi"/>
                <w:sz w:val="24"/>
                <w:szCs w:val="24"/>
              </w:rPr>
              <w:t xml:space="preserve">Odesłanie zostanie zmienione na odesłanie do definicji </w:t>
            </w:r>
            <w:r w:rsidRPr="00C2523C">
              <w:rPr>
                <w:rFonts w:cstheme="minorHAnsi"/>
                <w:sz w:val="24"/>
                <w:szCs w:val="24"/>
              </w:rPr>
              <w:lastRenderedPageBreak/>
              <w:t>„komunikatu”, o której mowa w ustawie Prawo telekomunikacyjne.</w:t>
            </w:r>
            <w:r w:rsidR="00E05107" w:rsidRPr="00C2523C">
              <w:rPr>
                <w:rFonts w:cstheme="minorHAnsi"/>
                <w:sz w:val="24"/>
                <w:szCs w:val="24"/>
              </w:rPr>
              <w:t xml:space="preserve"> </w:t>
            </w:r>
          </w:p>
        </w:tc>
      </w:tr>
      <w:tr w:rsidR="00C2523C" w:rsidRPr="00C2523C" w14:paraId="4951079D" w14:textId="77777777" w:rsidTr="002F0E46">
        <w:tc>
          <w:tcPr>
            <w:tcW w:w="762" w:type="dxa"/>
            <w:gridSpan w:val="2"/>
          </w:tcPr>
          <w:p w14:paraId="5BFC8A1A"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66" w:type="dxa"/>
          </w:tcPr>
          <w:p w14:paraId="024AF871" w14:textId="762E98CD"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1129B73C" w14:textId="408F1CD0" w:rsidR="00FD3498" w:rsidRPr="00C2523C" w:rsidRDefault="00FD3498" w:rsidP="00277373">
            <w:pPr>
              <w:rPr>
                <w:rFonts w:cstheme="minorHAnsi"/>
                <w:sz w:val="24"/>
                <w:szCs w:val="24"/>
              </w:rPr>
            </w:pPr>
            <w:r w:rsidRPr="00C2523C">
              <w:rPr>
                <w:rFonts w:cstheme="minorHAnsi"/>
                <w:sz w:val="24"/>
                <w:szCs w:val="24"/>
              </w:rPr>
              <w:t>Art. 2 pkt 3</w:t>
            </w:r>
          </w:p>
        </w:tc>
        <w:tc>
          <w:tcPr>
            <w:tcW w:w="7229" w:type="dxa"/>
          </w:tcPr>
          <w:p w14:paraId="08672469" w14:textId="26F53657" w:rsidR="00FD3498" w:rsidRPr="00C2523C" w:rsidRDefault="00FD3498" w:rsidP="005C059A">
            <w:pPr>
              <w:autoSpaceDE w:val="0"/>
              <w:autoSpaceDN w:val="0"/>
              <w:adjustRightInd w:val="0"/>
              <w:rPr>
                <w:rFonts w:cstheme="minorHAnsi"/>
                <w:sz w:val="24"/>
                <w:szCs w:val="24"/>
              </w:rPr>
            </w:pPr>
            <w:r w:rsidRPr="00C2523C">
              <w:rPr>
                <w:rFonts w:cstheme="minorHAnsi"/>
                <w:sz w:val="24"/>
                <w:szCs w:val="24"/>
              </w:rPr>
              <w:t>Wątpliwości budzi wprowadzenie do projektu nowej definicji komunikatu</w:t>
            </w:r>
            <w:r w:rsidR="00AB6C72" w:rsidRPr="00C2523C">
              <w:rPr>
                <w:rFonts w:cstheme="minorHAnsi"/>
                <w:sz w:val="24"/>
                <w:szCs w:val="24"/>
              </w:rPr>
              <w:t xml:space="preserve"> </w:t>
            </w:r>
            <w:r w:rsidRPr="00C2523C">
              <w:rPr>
                <w:rFonts w:cstheme="minorHAnsi"/>
                <w:sz w:val="24"/>
                <w:szCs w:val="24"/>
              </w:rPr>
              <w:t>elektronicznego (art. 2 pkt 3), w sytuacji, gdy już taka definicja znajduje się w ustawie z dnia</w:t>
            </w:r>
            <w:r w:rsidR="00AB6C72" w:rsidRPr="00C2523C">
              <w:rPr>
                <w:rFonts w:cstheme="minorHAnsi"/>
                <w:sz w:val="24"/>
                <w:szCs w:val="24"/>
              </w:rPr>
              <w:t xml:space="preserve"> </w:t>
            </w:r>
            <w:r w:rsidRPr="00C2523C">
              <w:rPr>
                <w:rFonts w:cstheme="minorHAnsi"/>
                <w:sz w:val="24"/>
                <w:szCs w:val="24"/>
              </w:rPr>
              <w:t>16 lipca 2004 r. – Prawo telekomunikacyjne (Dz. U. z 2021 r. poz. 576, z późn. zm.). Nowa</w:t>
            </w:r>
            <w:r w:rsidR="00AB6C72" w:rsidRPr="00C2523C">
              <w:rPr>
                <w:rFonts w:cstheme="minorHAnsi"/>
                <w:sz w:val="24"/>
                <w:szCs w:val="24"/>
              </w:rPr>
              <w:t xml:space="preserve"> </w:t>
            </w:r>
            <w:r w:rsidRPr="00C2523C">
              <w:rPr>
                <w:rFonts w:cstheme="minorHAnsi"/>
                <w:sz w:val="24"/>
                <w:szCs w:val="24"/>
              </w:rPr>
              <w:t>definicja ma się różnić od obecnej i być rozszerzona o pojęcie dotyczące informacji</w:t>
            </w:r>
            <w:r w:rsidR="00AB6C72" w:rsidRPr="00C2523C">
              <w:rPr>
                <w:rFonts w:cstheme="minorHAnsi"/>
                <w:sz w:val="24"/>
                <w:szCs w:val="24"/>
              </w:rPr>
              <w:t xml:space="preserve"> </w:t>
            </w:r>
            <w:r w:rsidRPr="00C2523C">
              <w:rPr>
                <w:rFonts w:cstheme="minorHAnsi"/>
                <w:sz w:val="24"/>
                <w:szCs w:val="24"/>
              </w:rPr>
              <w:t>przekazywanych za pośrednictwem publicznie dostępnych usług komunikacji elektronicznej,</w:t>
            </w:r>
            <w:r w:rsidR="00AB6C72" w:rsidRPr="00C2523C">
              <w:rPr>
                <w:rFonts w:cstheme="minorHAnsi"/>
                <w:sz w:val="24"/>
                <w:szCs w:val="24"/>
              </w:rPr>
              <w:t xml:space="preserve"> </w:t>
            </w:r>
            <w:r w:rsidRPr="00C2523C">
              <w:rPr>
                <w:rFonts w:cstheme="minorHAnsi"/>
                <w:sz w:val="24"/>
                <w:szCs w:val="24"/>
              </w:rPr>
              <w:t>a nie jak dotychczas jedynie publicznie dostępnych usług telekomunikacyjnych. Należałoby</w:t>
            </w:r>
            <w:r w:rsidR="00AB6C72" w:rsidRPr="00C2523C">
              <w:rPr>
                <w:rFonts w:cstheme="minorHAnsi"/>
                <w:sz w:val="24"/>
                <w:szCs w:val="24"/>
              </w:rPr>
              <w:t xml:space="preserve"> </w:t>
            </w:r>
            <w:r w:rsidRPr="00C2523C">
              <w:rPr>
                <w:rFonts w:cstheme="minorHAnsi"/>
                <w:sz w:val="24"/>
                <w:szCs w:val="24"/>
              </w:rPr>
              <w:t>zatem w tym zakresie dokonać rozszerzenia definicji komunikatu elektronicznego zawartego</w:t>
            </w:r>
            <w:r w:rsidR="00AB6C72" w:rsidRPr="00C2523C">
              <w:rPr>
                <w:rFonts w:cstheme="minorHAnsi"/>
                <w:sz w:val="24"/>
                <w:szCs w:val="24"/>
              </w:rPr>
              <w:t xml:space="preserve"> </w:t>
            </w:r>
            <w:r w:rsidRPr="00C2523C">
              <w:rPr>
                <w:rFonts w:cstheme="minorHAnsi"/>
                <w:sz w:val="24"/>
                <w:szCs w:val="24"/>
              </w:rPr>
              <w:t>w Prawie telekomunikacyjnym, a w projekcie ustawy jedynie odwołać się do tej definicji. Nie</w:t>
            </w:r>
            <w:r w:rsidR="00AB6C72" w:rsidRPr="00C2523C">
              <w:rPr>
                <w:rFonts w:cstheme="minorHAnsi"/>
                <w:sz w:val="24"/>
                <w:szCs w:val="24"/>
              </w:rPr>
              <w:t xml:space="preserve"> </w:t>
            </w:r>
            <w:r w:rsidRPr="00C2523C">
              <w:rPr>
                <w:rFonts w:cstheme="minorHAnsi"/>
                <w:sz w:val="24"/>
                <w:szCs w:val="24"/>
              </w:rPr>
              <w:t>ma bowiem potrzeby wprowadzenia dwóch definicji legalnych tego samego pojęcia de facto</w:t>
            </w:r>
            <w:r w:rsidR="00AB6C72" w:rsidRPr="00C2523C">
              <w:rPr>
                <w:rFonts w:cstheme="minorHAnsi"/>
                <w:sz w:val="24"/>
                <w:szCs w:val="24"/>
              </w:rPr>
              <w:t xml:space="preserve"> </w:t>
            </w:r>
            <w:r w:rsidRPr="00C2523C">
              <w:rPr>
                <w:rFonts w:cstheme="minorHAnsi"/>
                <w:sz w:val="24"/>
                <w:szCs w:val="24"/>
              </w:rPr>
              <w:t>w tej samej dziedzinie prawa</w:t>
            </w:r>
            <w:r w:rsidR="000C710E" w:rsidRPr="00C2523C">
              <w:rPr>
                <w:rFonts w:cstheme="minorHAnsi"/>
                <w:sz w:val="24"/>
                <w:szCs w:val="24"/>
              </w:rPr>
              <w:t>.</w:t>
            </w:r>
          </w:p>
        </w:tc>
        <w:tc>
          <w:tcPr>
            <w:tcW w:w="3509" w:type="dxa"/>
          </w:tcPr>
          <w:p w14:paraId="7F70AD05" w14:textId="1D0A7E5B" w:rsidR="00F86531" w:rsidRPr="00C2523C" w:rsidRDefault="000C710E">
            <w:pPr>
              <w:rPr>
                <w:rFonts w:cstheme="minorHAnsi"/>
                <w:b/>
                <w:sz w:val="24"/>
                <w:szCs w:val="24"/>
                <w:highlight w:val="yellow"/>
              </w:rPr>
            </w:pPr>
            <w:r w:rsidRPr="00C2523C">
              <w:rPr>
                <w:rFonts w:cstheme="minorHAnsi"/>
                <w:b/>
                <w:sz w:val="24"/>
                <w:szCs w:val="24"/>
              </w:rPr>
              <w:t xml:space="preserve">Uwaga </w:t>
            </w:r>
            <w:r w:rsidR="00F86531" w:rsidRPr="00C2523C">
              <w:rPr>
                <w:rFonts w:cstheme="minorHAnsi"/>
                <w:b/>
                <w:sz w:val="24"/>
                <w:szCs w:val="24"/>
              </w:rPr>
              <w:t>uwzględniona</w:t>
            </w:r>
          </w:p>
          <w:p w14:paraId="77EC8FAE" w14:textId="43B286B2" w:rsidR="00FD3498" w:rsidRPr="00C2523C" w:rsidDel="00E709E0" w:rsidRDefault="00F86531">
            <w:pPr>
              <w:rPr>
                <w:rFonts w:cstheme="minorHAnsi"/>
                <w:b/>
                <w:sz w:val="24"/>
                <w:szCs w:val="24"/>
                <w:highlight w:val="yellow"/>
              </w:rPr>
            </w:pPr>
            <w:r w:rsidRPr="00C2523C">
              <w:rPr>
                <w:rFonts w:cstheme="minorHAnsi"/>
                <w:sz w:val="24"/>
                <w:szCs w:val="24"/>
              </w:rPr>
              <w:t xml:space="preserve">Odesłanie zostanie zmienione na odesłanie do definicji „komunikatu”, o której mowa w ustawie </w:t>
            </w:r>
            <w:r w:rsidR="00EF167D" w:rsidRPr="00C2523C">
              <w:rPr>
                <w:rFonts w:cstheme="minorHAnsi"/>
                <w:sz w:val="24"/>
                <w:szCs w:val="24"/>
              </w:rPr>
              <w:t xml:space="preserve">- </w:t>
            </w:r>
            <w:r w:rsidRPr="00C2523C">
              <w:rPr>
                <w:rFonts w:cstheme="minorHAnsi"/>
                <w:sz w:val="24"/>
                <w:szCs w:val="24"/>
              </w:rPr>
              <w:t>Prawo telekomunikacyjne.</w:t>
            </w:r>
          </w:p>
        </w:tc>
      </w:tr>
      <w:tr w:rsidR="00C2523C" w:rsidRPr="00C2523C" w14:paraId="2464AC4B" w14:textId="77777777" w:rsidTr="002F0E46">
        <w:tc>
          <w:tcPr>
            <w:tcW w:w="762" w:type="dxa"/>
            <w:gridSpan w:val="2"/>
          </w:tcPr>
          <w:p w14:paraId="2F3DA244" w14:textId="20AAA1A3"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6A86DE78" w14:textId="00121B0B"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5311A4A4" w14:textId="4F65A691" w:rsidR="00BF24F1" w:rsidRPr="00C2523C" w:rsidRDefault="00BF24F1" w:rsidP="00277373">
            <w:pPr>
              <w:rPr>
                <w:rFonts w:cstheme="minorHAnsi"/>
                <w:sz w:val="24"/>
                <w:szCs w:val="24"/>
              </w:rPr>
            </w:pPr>
            <w:r w:rsidRPr="00C2523C">
              <w:rPr>
                <w:rFonts w:cstheme="minorHAnsi"/>
                <w:sz w:val="24"/>
                <w:szCs w:val="24"/>
              </w:rPr>
              <w:t>Art. 2 pkt 4</w:t>
            </w:r>
          </w:p>
        </w:tc>
        <w:tc>
          <w:tcPr>
            <w:tcW w:w="7229" w:type="dxa"/>
          </w:tcPr>
          <w:p w14:paraId="66E61BDD" w14:textId="7D40FE8D" w:rsidR="00BF24F1" w:rsidRPr="00C2523C" w:rsidRDefault="00BF24F1" w:rsidP="005C059A">
            <w:pPr>
              <w:autoSpaceDE w:val="0"/>
              <w:autoSpaceDN w:val="0"/>
              <w:adjustRightInd w:val="0"/>
              <w:rPr>
                <w:rFonts w:cstheme="minorHAnsi"/>
                <w:sz w:val="24"/>
                <w:szCs w:val="24"/>
              </w:rPr>
            </w:pPr>
            <w:r w:rsidRPr="00C2523C">
              <w:rPr>
                <w:rFonts w:cstheme="minorHAnsi"/>
                <w:sz w:val="24"/>
                <w:szCs w:val="24"/>
              </w:rPr>
              <w:t xml:space="preserve">odnosząc się do definicji „nadużycia </w:t>
            </w:r>
            <w:r w:rsidRPr="00C2523C">
              <w:rPr>
                <w:rFonts w:cstheme="minorHAnsi"/>
                <w:sz w:val="24"/>
                <w:szCs w:val="24"/>
                <w:u w:val="single"/>
              </w:rPr>
              <w:t>w komunikacji elektronicznej</w:t>
            </w:r>
            <w:r w:rsidRPr="00C2523C">
              <w:rPr>
                <w:rFonts w:cstheme="minorHAnsi"/>
                <w:sz w:val="24"/>
                <w:szCs w:val="24"/>
              </w:rPr>
              <w:t>” zawartej w art. 2</w:t>
            </w:r>
            <w:r w:rsidR="00FB3B85" w:rsidRPr="00C2523C">
              <w:rPr>
                <w:rFonts w:cstheme="minorHAnsi"/>
                <w:sz w:val="24"/>
                <w:szCs w:val="24"/>
              </w:rPr>
              <w:t xml:space="preserve"> </w:t>
            </w:r>
            <w:r w:rsidRPr="00C2523C">
              <w:rPr>
                <w:rFonts w:cstheme="minorHAnsi"/>
                <w:sz w:val="24"/>
                <w:szCs w:val="24"/>
              </w:rPr>
              <w:t>pkt 4 projektu – zauważenia wymaga, że treść tej definicji tożsama jest z projektowanym</w:t>
            </w:r>
            <w:r w:rsidR="00FB3B85" w:rsidRPr="00C2523C">
              <w:rPr>
                <w:rFonts w:cstheme="minorHAnsi"/>
                <w:sz w:val="24"/>
                <w:szCs w:val="24"/>
              </w:rPr>
              <w:t xml:space="preserve"> </w:t>
            </w:r>
            <w:r w:rsidRPr="00C2523C">
              <w:rPr>
                <w:rFonts w:cstheme="minorHAnsi"/>
                <w:sz w:val="24"/>
                <w:szCs w:val="24"/>
              </w:rPr>
              <w:t xml:space="preserve">brzmieniem definicji „nadużycia </w:t>
            </w:r>
            <w:r w:rsidRPr="00C2523C">
              <w:rPr>
                <w:rFonts w:cstheme="minorHAnsi"/>
                <w:sz w:val="24"/>
                <w:szCs w:val="24"/>
                <w:u w:val="single"/>
              </w:rPr>
              <w:t>telekomunikacyjnego</w:t>
            </w:r>
            <w:r w:rsidRPr="00C2523C">
              <w:rPr>
                <w:rFonts w:cstheme="minorHAnsi"/>
                <w:sz w:val="24"/>
                <w:szCs w:val="24"/>
              </w:rPr>
              <w:t>” zawartego w projekcie ustawy -</w:t>
            </w:r>
            <w:r w:rsidR="00FB3B85" w:rsidRPr="00C2523C">
              <w:rPr>
                <w:rFonts w:cstheme="minorHAnsi"/>
                <w:sz w:val="24"/>
                <w:szCs w:val="24"/>
              </w:rPr>
              <w:t xml:space="preserve"> </w:t>
            </w:r>
            <w:r w:rsidRPr="00C2523C">
              <w:rPr>
                <w:rFonts w:cstheme="minorHAnsi"/>
                <w:sz w:val="24"/>
                <w:szCs w:val="24"/>
              </w:rPr>
              <w:t>Prawo komunikacji elektronicznej. Tym samym wyjaśnienia wymaga zastosowanie</w:t>
            </w:r>
            <w:r w:rsidR="00FB3B85" w:rsidRPr="00C2523C">
              <w:rPr>
                <w:rFonts w:cstheme="minorHAnsi"/>
                <w:sz w:val="24"/>
                <w:szCs w:val="24"/>
              </w:rPr>
              <w:t xml:space="preserve"> </w:t>
            </w:r>
            <w:r w:rsidRPr="00C2523C">
              <w:rPr>
                <w:rFonts w:cstheme="minorHAnsi"/>
                <w:sz w:val="24"/>
                <w:szCs w:val="24"/>
              </w:rPr>
              <w:t>w przypadku przedmiotowego projektu terminologii „</w:t>
            </w:r>
            <w:r w:rsidRPr="00C2523C">
              <w:rPr>
                <w:rFonts w:cstheme="minorHAnsi"/>
                <w:i/>
                <w:iCs/>
                <w:sz w:val="24"/>
                <w:szCs w:val="24"/>
              </w:rPr>
              <w:t xml:space="preserve">nadużycia </w:t>
            </w:r>
            <w:r w:rsidRPr="00C2523C">
              <w:rPr>
                <w:rFonts w:cstheme="minorHAnsi"/>
                <w:i/>
                <w:iCs/>
                <w:sz w:val="24"/>
                <w:szCs w:val="24"/>
                <w:u w:val="single"/>
              </w:rPr>
              <w:t>w komunikacji</w:t>
            </w:r>
            <w:r w:rsidR="00FB3B85" w:rsidRPr="00C2523C">
              <w:rPr>
                <w:rFonts w:cstheme="minorHAnsi"/>
                <w:i/>
                <w:iCs/>
                <w:sz w:val="24"/>
                <w:szCs w:val="24"/>
                <w:u w:val="single"/>
              </w:rPr>
              <w:t xml:space="preserve"> </w:t>
            </w:r>
            <w:r w:rsidRPr="00C2523C">
              <w:rPr>
                <w:rFonts w:cstheme="minorHAnsi"/>
                <w:i/>
                <w:iCs/>
                <w:sz w:val="24"/>
                <w:szCs w:val="24"/>
                <w:u w:val="single"/>
              </w:rPr>
              <w:t>elektronicznej</w:t>
            </w:r>
            <w:r w:rsidRPr="00C2523C">
              <w:rPr>
                <w:rFonts w:cstheme="minorHAnsi"/>
                <w:sz w:val="24"/>
                <w:szCs w:val="24"/>
              </w:rPr>
              <w:t>” (w miejsce nadużycia „</w:t>
            </w:r>
            <w:r w:rsidRPr="00C2523C">
              <w:rPr>
                <w:rFonts w:cstheme="minorHAnsi"/>
                <w:i/>
                <w:iCs/>
                <w:sz w:val="24"/>
                <w:szCs w:val="24"/>
              </w:rPr>
              <w:t>telekomunikacyjnego</w:t>
            </w:r>
            <w:r w:rsidRPr="00C2523C">
              <w:rPr>
                <w:rFonts w:cstheme="minorHAnsi"/>
                <w:sz w:val="24"/>
                <w:szCs w:val="24"/>
              </w:rPr>
              <w:t>”) definiując je jednocześnie jako</w:t>
            </w:r>
            <w:r w:rsidR="00FB3B85" w:rsidRPr="00C2523C">
              <w:rPr>
                <w:rFonts w:cstheme="minorHAnsi"/>
                <w:sz w:val="24"/>
                <w:szCs w:val="24"/>
              </w:rPr>
              <w:t xml:space="preserve"> </w:t>
            </w:r>
            <w:r w:rsidRPr="00C2523C">
              <w:rPr>
                <w:rFonts w:cstheme="minorHAnsi"/>
                <w:sz w:val="24"/>
                <w:szCs w:val="24"/>
              </w:rPr>
              <w:t xml:space="preserve">świadczenie </w:t>
            </w:r>
            <w:r w:rsidRPr="00C2523C">
              <w:rPr>
                <w:rFonts w:cstheme="minorHAnsi"/>
                <w:sz w:val="24"/>
                <w:szCs w:val="24"/>
                <w:u w:val="single"/>
              </w:rPr>
              <w:lastRenderedPageBreak/>
              <w:t>usługi telekomunikacyjnej</w:t>
            </w:r>
            <w:r w:rsidRPr="00C2523C">
              <w:rPr>
                <w:rFonts w:cstheme="minorHAnsi"/>
                <w:sz w:val="24"/>
                <w:szCs w:val="24"/>
              </w:rPr>
              <w:t xml:space="preserve"> lub korzystanie z </w:t>
            </w:r>
            <w:r w:rsidRPr="00C2523C">
              <w:rPr>
                <w:rFonts w:cstheme="minorHAnsi"/>
                <w:sz w:val="24"/>
                <w:szCs w:val="24"/>
                <w:u w:val="single"/>
              </w:rPr>
              <w:t>urządzeń telekomunikacyjnych;</w:t>
            </w:r>
          </w:p>
        </w:tc>
        <w:tc>
          <w:tcPr>
            <w:tcW w:w="3509" w:type="dxa"/>
          </w:tcPr>
          <w:p w14:paraId="79AE26CC" w14:textId="6F039409" w:rsidR="00FB3B85" w:rsidRPr="00C2523C" w:rsidRDefault="001320FB" w:rsidP="00277373">
            <w:pPr>
              <w:rPr>
                <w:rFonts w:cstheme="minorHAnsi"/>
                <w:b/>
                <w:sz w:val="24"/>
                <w:szCs w:val="24"/>
              </w:rPr>
            </w:pPr>
            <w:r w:rsidRPr="00C2523C">
              <w:rPr>
                <w:rFonts w:cstheme="minorHAnsi"/>
                <w:b/>
                <w:sz w:val="24"/>
                <w:szCs w:val="24"/>
              </w:rPr>
              <w:lastRenderedPageBreak/>
              <w:t>Uwaga wyjaśniona</w:t>
            </w:r>
          </w:p>
          <w:p w14:paraId="24C7E9E5" w14:textId="7120C691" w:rsidR="00F86531" w:rsidRPr="00C2523C" w:rsidRDefault="00FB3B85">
            <w:pPr>
              <w:rPr>
                <w:rFonts w:cstheme="minorHAnsi"/>
                <w:sz w:val="24"/>
                <w:szCs w:val="24"/>
              </w:rPr>
            </w:pPr>
            <w:r w:rsidRPr="00C2523C">
              <w:rPr>
                <w:rFonts w:cstheme="minorHAnsi"/>
                <w:sz w:val="24"/>
                <w:szCs w:val="24"/>
              </w:rPr>
              <w:t xml:space="preserve">Kwestie dotyczące nadużyć telekomunikacyjnych w projekcie ustawy </w:t>
            </w:r>
            <w:r w:rsidR="00372A52" w:rsidRPr="00C2523C">
              <w:rPr>
                <w:rFonts w:cstheme="minorHAnsi"/>
                <w:sz w:val="24"/>
                <w:szCs w:val="24"/>
              </w:rPr>
              <w:t xml:space="preserve">- </w:t>
            </w:r>
            <w:r w:rsidRPr="00C2523C">
              <w:rPr>
                <w:rFonts w:cstheme="minorHAnsi"/>
                <w:sz w:val="24"/>
                <w:szCs w:val="24"/>
              </w:rPr>
              <w:t>Prawo komunikacji elektronicznej zostaną usunięte.</w:t>
            </w:r>
            <w:r w:rsidR="00F86531" w:rsidRPr="00C2523C">
              <w:rPr>
                <w:rFonts w:cstheme="minorHAnsi"/>
                <w:sz w:val="24"/>
                <w:szCs w:val="24"/>
              </w:rPr>
              <w:t xml:space="preserve"> Ustawa nakłada również obowiązki na dostawcę poczty elektronicznej, który nie jest przedsiębiorcą </w:t>
            </w:r>
            <w:r w:rsidR="00F86531" w:rsidRPr="00C2523C">
              <w:rPr>
                <w:rFonts w:cstheme="minorHAnsi"/>
                <w:sz w:val="24"/>
                <w:szCs w:val="24"/>
              </w:rPr>
              <w:lastRenderedPageBreak/>
              <w:t>telekomunikacyjnych i nie świadczy usługi telekomunikacyjnej, ale świadczy usługę komunikacji elektronicznej.</w:t>
            </w:r>
          </w:p>
        </w:tc>
      </w:tr>
      <w:tr w:rsidR="00C2523C" w:rsidRPr="00C2523C" w14:paraId="53301EE8" w14:textId="77777777" w:rsidTr="002F0E46">
        <w:tc>
          <w:tcPr>
            <w:tcW w:w="762" w:type="dxa"/>
            <w:gridSpan w:val="2"/>
          </w:tcPr>
          <w:p w14:paraId="7DBAA114" w14:textId="59C8AE72"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7BC2696F" w14:textId="49DBB35C"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6C53BA30" w14:textId="17DF53A1" w:rsidR="00BF24F1" w:rsidRPr="00C2523C" w:rsidRDefault="00BF24F1" w:rsidP="00277373">
            <w:pPr>
              <w:rPr>
                <w:rFonts w:cstheme="minorHAnsi"/>
                <w:sz w:val="24"/>
                <w:szCs w:val="24"/>
              </w:rPr>
            </w:pPr>
            <w:r w:rsidRPr="00C2523C">
              <w:rPr>
                <w:rFonts w:cstheme="minorHAnsi"/>
                <w:sz w:val="24"/>
                <w:szCs w:val="24"/>
              </w:rPr>
              <w:t>Art. 2 pkt 8</w:t>
            </w:r>
          </w:p>
        </w:tc>
        <w:tc>
          <w:tcPr>
            <w:tcW w:w="7229" w:type="dxa"/>
          </w:tcPr>
          <w:p w14:paraId="631AAECF" w14:textId="008FB362"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mając na uwadze funkcjonujące w systemie prawa jako jeden ze środków</w:t>
            </w:r>
            <w:r w:rsidR="00FB3B85" w:rsidRPr="00C2523C">
              <w:rPr>
                <w:rFonts w:cstheme="minorHAnsi"/>
                <w:sz w:val="24"/>
                <w:szCs w:val="24"/>
              </w:rPr>
              <w:t xml:space="preserve"> </w:t>
            </w:r>
            <w:r w:rsidRPr="00C2523C">
              <w:rPr>
                <w:rFonts w:cstheme="minorHAnsi"/>
                <w:sz w:val="24"/>
                <w:szCs w:val="24"/>
              </w:rPr>
              <w:t>komunikacji elektronicznej (o których mowa w ustawie z dnia 18 lipca 2002 r. o świadczeniu</w:t>
            </w:r>
            <w:r w:rsidR="00FB3B85" w:rsidRPr="00C2523C">
              <w:rPr>
                <w:rFonts w:cstheme="minorHAnsi"/>
                <w:sz w:val="24"/>
                <w:szCs w:val="24"/>
              </w:rPr>
              <w:t xml:space="preserve"> </w:t>
            </w:r>
            <w:r w:rsidRPr="00C2523C">
              <w:rPr>
                <w:rFonts w:cstheme="minorHAnsi"/>
                <w:sz w:val="24"/>
                <w:szCs w:val="24"/>
              </w:rPr>
              <w:t>usług drogą elektroniczną), bez konieczności dodatkowego ustawowego definiowania, pojęcie</w:t>
            </w:r>
            <w:r w:rsidR="00FB3B85" w:rsidRPr="00C2523C">
              <w:rPr>
                <w:rFonts w:cstheme="minorHAnsi"/>
                <w:sz w:val="24"/>
                <w:szCs w:val="24"/>
              </w:rPr>
              <w:t xml:space="preserve"> </w:t>
            </w:r>
            <w:r w:rsidRPr="00C2523C">
              <w:rPr>
                <w:rFonts w:cstheme="minorHAnsi"/>
                <w:sz w:val="24"/>
                <w:szCs w:val="24"/>
              </w:rPr>
              <w:t>„poczty elektronicznej”, dodatkowego wyjaśnienia wymaga przyczyna wprowadzenia takiej</w:t>
            </w:r>
            <w:r w:rsidR="00FB3B85" w:rsidRPr="00C2523C">
              <w:rPr>
                <w:rFonts w:cstheme="minorHAnsi"/>
                <w:sz w:val="24"/>
                <w:szCs w:val="24"/>
              </w:rPr>
              <w:t xml:space="preserve"> </w:t>
            </w:r>
            <w:r w:rsidRPr="00C2523C">
              <w:rPr>
                <w:rFonts w:cstheme="minorHAnsi"/>
                <w:sz w:val="24"/>
                <w:szCs w:val="24"/>
              </w:rPr>
              <w:t>definicji w art. 2 pkt 8 projektu. Ponadto zauważyć należy, że przedmiotowa definicja „poczty</w:t>
            </w:r>
            <w:r w:rsidR="00FB3B85" w:rsidRPr="00C2523C">
              <w:rPr>
                <w:rFonts w:cstheme="minorHAnsi"/>
                <w:sz w:val="24"/>
                <w:szCs w:val="24"/>
              </w:rPr>
              <w:t xml:space="preserve"> </w:t>
            </w:r>
            <w:r w:rsidRPr="00C2523C">
              <w:rPr>
                <w:rFonts w:cstheme="minorHAnsi"/>
                <w:sz w:val="24"/>
                <w:szCs w:val="24"/>
              </w:rPr>
              <w:t>elektronicznej” zawiera dane techniczne dotyczące przekazywania komunikatu</w:t>
            </w:r>
            <w:r w:rsidR="00FB3B85" w:rsidRPr="00C2523C">
              <w:rPr>
                <w:rFonts w:cstheme="minorHAnsi"/>
                <w:sz w:val="24"/>
                <w:szCs w:val="24"/>
              </w:rPr>
              <w:t xml:space="preserve"> </w:t>
            </w:r>
            <w:r w:rsidRPr="00C2523C">
              <w:rPr>
                <w:rFonts w:cstheme="minorHAnsi"/>
                <w:sz w:val="24"/>
                <w:szCs w:val="24"/>
              </w:rPr>
              <w:t>elektronicznego (standard SMPT, POP3, IMAP4) które, powinny zostać z projektu usunięte</w:t>
            </w:r>
            <w:r w:rsidR="00FB3B85" w:rsidRPr="00C2523C">
              <w:rPr>
                <w:rFonts w:cstheme="minorHAnsi"/>
                <w:sz w:val="24"/>
                <w:szCs w:val="24"/>
              </w:rPr>
              <w:t xml:space="preserve"> </w:t>
            </w:r>
            <w:r w:rsidRPr="00C2523C">
              <w:rPr>
                <w:rFonts w:cstheme="minorHAnsi"/>
                <w:sz w:val="24"/>
                <w:szCs w:val="24"/>
              </w:rPr>
              <w:t>ze względu na ich zbyt techniczny i specjalistyczny charakter, a także możliwość częstych</w:t>
            </w:r>
            <w:r w:rsidR="00E05107" w:rsidRPr="00C2523C">
              <w:rPr>
                <w:rFonts w:cstheme="minorHAnsi"/>
                <w:sz w:val="24"/>
                <w:szCs w:val="24"/>
              </w:rPr>
              <w:t xml:space="preserve"> </w:t>
            </w:r>
            <w:r w:rsidRPr="00C2523C">
              <w:rPr>
                <w:rFonts w:cstheme="minorHAnsi"/>
                <w:sz w:val="24"/>
                <w:szCs w:val="24"/>
              </w:rPr>
              <w:t>nowelizacji przyszłej regulacji ze względu na postęp technologiczny</w:t>
            </w:r>
            <w:r w:rsidR="002E51B4" w:rsidRPr="00C2523C">
              <w:rPr>
                <w:rFonts w:cstheme="minorHAnsi"/>
                <w:sz w:val="24"/>
                <w:szCs w:val="24"/>
              </w:rPr>
              <w:t>.</w:t>
            </w:r>
          </w:p>
        </w:tc>
        <w:tc>
          <w:tcPr>
            <w:tcW w:w="3509" w:type="dxa"/>
          </w:tcPr>
          <w:p w14:paraId="36720314" w14:textId="65758725" w:rsidR="00DC70D7" w:rsidRPr="00C2523C" w:rsidRDefault="001320FB" w:rsidP="00277373">
            <w:pPr>
              <w:rPr>
                <w:rFonts w:cstheme="minorHAnsi"/>
                <w:sz w:val="24"/>
                <w:szCs w:val="24"/>
              </w:rPr>
            </w:pPr>
            <w:r w:rsidRPr="00C2523C">
              <w:rPr>
                <w:rFonts w:cstheme="minorHAnsi"/>
                <w:b/>
                <w:sz w:val="24"/>
                <w:szCs w:val="24"/>
              </w:rPr>
              <w:t xml:space="preserve">Uwaga </w:t>
            </w:r>
            <w:r w:rsidR="000E3009" w:rsidRPr="00C2523C">
              <w:rPr>
                <w:rFonts w:cstheme="minorHAnsi"/>
                <w:b/>
                <w:sz w:val="24"/>
                <w:szCs w:val="24"/>
              </w:rPr>
              <w:t xml:space="preserve">wyjaśniona </w:t>
            </w:r>
            <w:r w:rsidRPr="00C2523C">
              <w:rPr>
                <w:rFonts w:cstheme="minorHAnsi"/>
                <w:b/>
                <w:sz w:val="24"/>
                <w:szCs w:val="24"/>
              </w:rPr>
              <w:br/>
            </w:r>
            <w:r w:rsidRPr="00C2523C">
              <w:rPr>
                <w:rFonts w:cstheme="minorHAnsi"/>
                <w:sz w:val="24"/>
                <w:szCs w:val="24"/>
              </w:rPr>
              <w:t>Standard SMT</w:t>
            </w:r>
            <w:r w:rsidR="00AB6C72" w:rsidRPr="00C2523C">
              <w:rPr>
                <w:rFonts w:cstheme="minorHAnsi"/>
                <w:sz w:val="24"/>
                <w:szCs w:val="24"/>
              </w:rPr>
              <w:t>P</w:t>
            </w:r>
            <w:r w:rsidR="00DC70D7" w:rsidRPr="00C2523C">
              <w:rPr>
                <w:rFonts w:cstheme="minorHAnsi"/>
                <w:sz w:val="24"/>
                <w:szCs w:val="24"/>
              </w:rPr>
              <w:t xml:space="preserve">, który </w:t>
            </w:r>
            <w:r w:rsidR="000E3009" w:rsidRPr="00C2523C">
              <w:rPr>
                <w:rFonts w:cstheme="minorHAnsi"/>
                <w:sz w:val="24"/>
                <w:szCs w:val="24"/>
              </w:rPr>
              <w:t xml:space="preserve">opisał Jonathan Postel w dokumencie RFC 821 około 40 lat temu </w:t>
            </w:r>
            <w:r w:rsidR="00DC70D7" w:rsidRPr="00C2523C">
              <w:rPr>
                <w:rFonts w:cstheme="minorHAnsi"/>
                <w:sz w:val="24"/>
                <w:szCs w:val="24"/>
              </w:rPr>
              <w:t>jest nadal stosowany</w:t>
            </w:r>
            <w:r w:rsidR="000E3009" w:rsidRPr="00C2523C">
              <w:rPr>
                <w:rFonts w:cstheme="minorHAnsi"/>
                <w:sz w:val="24"/>
                <w:szCs w:val="24"/>
              </w:rPr>
              <w:t>.</w:t>
            </w:r>
            <w:r w:rsidRPr="00C2523C">
              <w:rPr>
                <w:rFonts w:cstheme="minorHAnsi"/>
                <w:sz w:val="24"/>
                <w:szCs w:val="24"/>
              </w:rPr>
              <w:t xml:space="preserve"> </w:t>
            </w:r>
          </w:p>
          <w:p w14:paraId="11B12048" w14:textId="68CE9511" w:rsidR="00BF24F1" w:rsidRPr="00C2523C" w:rsidRDefault="00DC70D7" w:rsidP="000E3009">
            <w:pPr>
              <w:rPr>
                <w:rFonts w:cstheme="minorHAnsi"/>
                <w:b/>
                <w:sz w:val="24"/>
                <w:szCs w:val="24"/>
              </w:rPr>
            </w:pPr>
            <w:r w:rsidRPr="00C2523C">
              <w:rPr>
                <w:rFonts w:cstheme="minorHAnsi"/>
                <w:sz w:val="24"/>
                <w:szCs w:val="24"/>
              </w:rPr>
              <w:t>Jednocześnie, odniesienie do tych standardów technicznych jest niezbędne aby odróżnić usługę poczty elektronicznej od innych usług interpersonalnych niewykorzystujących numerów (jak np. tzw. komunikatory internetowe)</w:t>
            </w:r>
            <w:r w:rsidR="000E3009" w:rsidRPr="00C2523C">
              <w:rPr>
                <w:rFonts w:cstheme="minorHAnsi"/>
                <w:sz w:val="24"/>
                <w:szCs w:val="24"/>
              </w:rPr>
              <w:t>, gdyż u</w:t>
            </w:r>
            <w:r w:rsidRPr="00C2523C">
              <w:rPr>
                <w:rFonts w:cstheme="minorHAnsi"/>
                <w:sz w:val="24"/>
                <w:szCs w:val="24"/>
              </w:rPr>
              <w:t>stawa o świadczeniu usług drogą elektroniczną nie zawiera legalnej definicji poczty elektronicznej.</w:t>
            </w:r>
          </w:p>
        </w:tc>
      </w:tr>
      <w:tr w:rsidR="00C2523C" w:rsidRPr="00C2523C" w14:paraId="37BA49A7" w14:textId="77777777" w:rsidTr="002F0E46">
        <w:tc>
          <w:tcPr>
            <w:tcW w:w="762" w:type="dxa"/>
            <w:gridSpan w:val="2"/>
          </w:tcPr>
          <w:p w14:paraId="6A907984" w14:textId="4EECDA60"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4392A2DB" w14:textId="4F68F09E"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6B7E8698" w14:textId="4F5A4801" w:rsidR="00BF24F1" w:rsidRPr="00C2523C" w:rsidRDefault="00BF24F1" w:rsidP="00277373">
            <w:pPr>
              <w:rPr>
                <w:rFonts w:cstheme="minorHAnsi"/>
                <w:sz w:val="24"/>
                <w:szCs w:val="24"/>
              </w:rPr>
            </w:pPr>
            <w:r w:rsidRPr="00C2523C">
              <w:rPr>
                <w:rFonts w:cstheme="minorHAnsi"/>
                <w:sz w:val="24"/>
                <w:szCs w:val="24"/>
              </w:rPr>
              <w:t>Art. 2 pkt 9</w:t>
            </w:r>
          </w:p>
        </w:tc>
        <w:tc>
          <w:tcPr>
            <w:tcW w:w="7229" w:type="dxa"/>
          </w:tcPr>
          <w:p w14:paraId="6FFE69A8" w14:textId="3021CB46" w:rsidR="00BF24F1" w:rsidRPr="00C2523C" w:rsidRDefault="00BF24F1" w:rsidP="00DE552E">
            <w:pPr>
              <w:autoSpaceDE w:val="0"/>
              <w:autoSpaceDN w:val="0"/>
              <w:adjustRightInd w:val="0"/>
              <w:rPr>
                <w:rFonts w:cstheme="minorHAnsi"/>
                <w:sz w:val="24"/>
                <w:szCs w:val="24"/>
              </w:rPr>
            </w:pPr>
            <w:r w:rsidRPr="00C2523C">
              <w:rPr>
                <w:rFonts w:cstheme="minorHAnsi"/>
                <w:sz w:val="24"/>
                <w:szCs w:val="24"/>
              </w:rPr>
              <w:t>w przypadku definicji „</w:t>
            </w:r>
            <w:r w:rsidRPr="00C2523C">
              <w:rPr>
                <w:rFonts w:cstheme="minorHAnsi"/>
                <w:i/>
                <w:iCs/>
                <w:sz w:val="24"/>
                <w:szCs w:val="24"/>
              </w:rPr>
              <w:t>połączenia głosowego</w:t>
            </w:r>
            <w:r w:rsidRPr="00C2523C">
              <w:rPr>
                <w:rFonts w:cstheme="minorHAnsi"/>
                <w:sz w:val="24"/>
                <w:szCs w:val="24"/>
              </w:rPr>
              <w:t>” określonej w art. 2 pkt 9 projektu –</w:t>
            </w:r>
            <w:r w:rsidR="00DE5070" w:rsidRPr="00C2523C">
              <w:rPr>
                <w:rFonts w:cstheme="minorHAnsi"/>
                <w:sz w:val="24"/>
                <w:szCs w:val="24"/>
              </w:rPr>
              <w:t xml:space="preserve"> </w:t>
            </w:r>
            <w:r w:rsidRPr="00C2523C">
              <w:rPr>
                <w:rFonts w:cstheme="minorHAnsi"/>
                <w:sz w:val="24"/>
                <w:szCs w:val="24"/>
              </w:rPr>
              <w:t>analogicznie jak w przypadku definicji „</w:t>
            </w:r>
            <w:r w:rsidRPr="00C2523C">
              <w:rPr>
                <w:rFonts w:cstheme="minorHAnsi"/>
                <w:i/>
                <w:iCs/>
                <w:sz w:val="24"/>
                <w:szCs w:val="24"/>
              </w:rPr>
              <w:t>komunikatu elektronicznego</w:t>
            </w:r>
            <w:r w:rsidRPr="00C2523C">
              <w:rPr>
                <w:rFonts w:cstheme="minorHAnsi"/>
                <w:sz w:val="24"/>
                <w:szCs w:val="24"/>
              </w:rPr>
              <w:t>” zauważyć należy, że</w:t>
            </w:r>
            <w:r w:rsidR="00DE5070" w:rsidRPr="00C2523C">
              <w:rPr>
                <w:rFonts w:cstheme="minorHAnsi"/>
                <w:sz w:val="24"/>
                <w:szCs w:val="24"/>
              </w:rPr>
              <w:t xml:space="preserve"> </w:t>
            </w:r>
            <w:r w:rsidRPr="00C2523C">
              <w:rPr>
                <w:rFonts w:cstheme="minorHAnsi"/>
                <w:sz w:val="24"/>
                <w:szCs w:val="24"/>
              </w:rPr>
              <w:t>powtarza ona definicję „</w:t>
            </w:r>
            <w:r w:rsidRPr="00C2523C">
              <w:rPr>
                <w:rFonts w:cstheme="minorHAnsi"/>
                <w:i/>
                <w:iCs/>
                <w:sz w:val="24"/>
                <w:szCs w:val="24"/>
              </w:rPr>
              <w:t>połączenia telefonicznego</w:t>
            </w:r>
            <w:r w:rsidRPr="00C2523C">
              <w:rPr>
                <w:rFonts w:cstheme="minorHAnsi"/>
                <w:sz w:val="24"/>
                <w:szCs w:val="24"/>
              </w:rPr>
              <w:t>”, o której mowa w art. 2 pkt 26 ustawy –</w:t>
            </w:r>
            <w:r w:rsidR="00DE5070" w:rsidRPr="00C2523C">
              <w:rPr>
                <w:rFonts w:cstheme="minorHAnsi"/>
                <w:sz w:val="24"/>
                <w:szCs w:val="24"/>
              </w:rPr>
              <w:t xml:space="preserve"> </w:t>
            </w:r>
            <w:r w:rsidRPr="00C2523C">
              <w:rPr>
                <w:rFonts w:cstheme="minorHAnsi"/>
                <w:sz w:val="24"/>
                <w:szCs w:val="24"/>
              </w:rPr>
              <w:t>Prawo telekomunikacyjne – zastępując w tej definicji „</w:t>
            </w:r>
            <w:r w:rsidRPr="00C2523C">
              <w:rPr>
                <w:rFonts w:cstheme="minorHAnsi"/>
                <w:i/>
                <w:iCs/>
                <w:sz w:val="24"/>
                <w:szCs w:val="24"/>
              </w:rPr>
              <w:t>publicznie dostępną usługę</w:t>
            </w:r>
            <w:r w:rsidR="00DE5070" w:rsidRPr="00C2523C">
              <w:rPr>
                <w:rFonts w:cstheme="minorHAnsi"/>
                <w:i/>
                <w:iCs/>
                <w:sz w:val="24"/>
                <w:szCs w:val="24"/>
              </w:rPr>
              <w:t xml:space="preserve"> </w:t>
            </w:r>
            <w:r w:rsidRPr="00C2523C">
              <w:rPr>
                <w:rFonts w:cstheme="minorHAnsi"/>
                <w:i/>
                <w:iCs/>
                <w:sz w:val="24"/>
                <w:szCs w:val="24"/>
              </w:rPr>
              <w:t>telekomunikacyjną</w:t>
            </w:r>
            <w:r w:rsidRPr="00C2523C">
              <w:rPr>
                <w:rFonts w:cstheme="minorHAnsi"/>
                <w:sz w:val="24"/>
                <w:szCs w:val="24"/>
              </w:rPr>
              <w:t>” – „</w:t>
            </w:r>
            <w:r w:rsidRPr="00C2523C">
              <w:rPr>
                <w:rFonts w:cstheme="minorHAnsi"/>
                <w:i/>
                <w:iCs/>
                <w:sz w:val="24"/>
                <w:szCs w:val="24"/>
              </w:rPr>
              <w:t>publicznie dostępną usługą komunikacji interpersonalnej</w:t>
            </w:r>
            <w:r w:rsidRPr="00C2523C">
              <w:rPr>
                <w:rFonts w:cstheme="minorHAnsi"/>
                <w:sz w:val="24"/>
                <w:szCs w:val="24"/>
              </w:rPr>
              <w:t>” czyli</w:t>
            </w:r>
            <w:r w:rsidR="00DE5070" w:rsidRPr="00C2523C">
              <w:rPr>
                <w:rFonts w:cstheme="minorHAnsi"/>
                <w:sz w:val="24"/>
                <w:szCs w:val="24"/>
              </w:rPr>
              <w:t xml:space="preserve"> </w:t>
            </w:r>
            <w:r w:rsidRPr="00C2523C">
              <w:rPr>
                <w:rFonts w:cstheme="minorHAnsi"/>
                <w:sz w:val="24"/>
                <w:szCs w:val="24"/>
              </w:rPr>
              <w:t>pojęciem z zakresu EKŁE, dotychczas nie wdrożonego do krajowego systemu prawa; na</w:t>
            </w:r>
            <w:r w:rsidR="00DE5070" w:rsidRPr="00C2523C">
              <w:rPr>
                <w:rFonts w:cstheme="minorHAnsi"/>
                <w:sz w:val="24"/>
                <w:szCs w:val="24"/>
              </w:rPr>
              <w:t xml:space="preserve"> </w:t>
            </w:r>
            <w:r w:rsidRPr="00C2523C">
              <w:rPr>
                <w:rFonts w:cstheme="minorHAnsi"/>
                <w:sz w:val="24"/>
                <w:szCs w:val="24"/>
              </w:rPr>
              <w:t>marginesie wskazać należy, że pojęcie „</w:t>
            </w:r>
            <w:r w:rsidRPr="00C2523C">
              <w:rPr>
                <w:rFonts w:cstheme="minorHAnsi"/>
                <w:i/>
                <w:iCs/>
                <w:sz w:val="24"/>
                <w:szCs w:val="24"/>
              </w:rPr>
              <w:t>połączenia głosowego</w:t>
            </w:r>
            <w:r w:rsidRPr="00C2523C">
              <w:rPr>
                <w:rFonts w:cstheme="minorHAnsi"/>
                <w:sz w:val="24"/>
                <w:szCs w:val="24"/>
              </w:rPr>
              <w:t>” zostało natomiast</w:t>
            </w:r>
            <w:r w:rsidR="00DE5070" w:rsidRPr="00C2523C">
              <w:rPr>
                <w:rFonts w:cstheme="minorHAnsi"/>
                <w:sz w:val="24"/>
                <w:szCs w:val="24"/>
              </w:rPr>
              <w:t xml:space="preserve"> </w:t>
            </w:r>
            <w:r w:rsidRPr="00C2523C">
              <w:rPr>
                <w:rFonts w:cstheme="minorHAnsi"/>
                <w:sz w:val="24"/>
                <w:szCs w:val="24"/>
              </w:rPr>
              <w:lastRenderedPageBreak/>
              <w:t xml:space="preserve">zdefiniowane w projekcie </w:t>
            </w:r>
            <w:r w:rsidRPr="00C2523C">
              <w:rPr>
                <w:rFonts w:cstheme="minorHAnsi"/>
                <w:i/>
                <w:iCs/>
                <w:sz w:val="24"/>
                <w:szCs w:val="24"/>
              </w:rPr>
              <w:t xml:space="preserve">ustawy – Prawo komunikacji elektronicznej, </w:t>
            </w:r>
            <w:r w:rsidRPr="00C2523C">
              <w:rPr>
                <w:rFonts w:cstheme="minorHAnsi"/>
                <w:sz w:val="24"/>
                <w:szCs w:val="24"/>
              </w:rPr>
              <w:t>co potwierdza jedynie</w:t>
            </w:r>
            <w:r w:rsidR="00DE5070" w:rsidRPr="00C2523C">
              <w:rPr>
                <w:rFonts w:cstheme="minorHAnsi"/>
                <w:sz w:val="24"/>
                <w:szCs w:val="24"/>
              </w:rPr>
              <w:t xml:space="preserve"> </w:t>
            </w:r>
            <w:r w:rsidRPr="00C2523C">
              <w:rPr>
                <w:rFonts w:cstheme="minorHAnsi"/>
                <w:sz w:val="24"/>
                <w:szCs w:val="24"/>
              </w:rPr>
              <w:t>konieczność dokonania ponownej analizy usytuowania systemowego przedmiotowego</w:t>
            </w:r>
            <w:r w:rsidR="00DE5070" w:rsidRPr="00C2523C">
              <w:rPr>
                <w:rFonts w:cstheme="minorHAnsi"/>
                <w:sz w:val="24"/>
                <w:szCs w:val="24"/>
              </w:rPr>
              <w:t xml:space="preserve"> </w:t>
            </w:r>
            <w:r w:rsidRPr="00C2523C">
              <w:rPr>
                <w:rFonts w:cstheme="minorHAnsi"/>
                <w:sz w:val="24"/>
                <w:szCs w:val="24"/>
              </w:rPr>
              <w:t>projektu i jego odniesienia się do odpowiedniej ustawy podstawowej</w:t>
            </w:r>
            <w:r w:rsidR="002E51B4" w:rsidRPr="00C2523C">
              <w:rPr>
                <w:rFonts w:cstheme="minorHAnsi"/>
                <w:sz w:val="24"/>
                <w:szCs w:val="24"/>
              </w:rPr>
              <w:t>.</w:t>
            </w:r>
          </w:p>
        </w:tc>
        <w:tc>
          <w:tcPr>
            <w:tcW w:w="3509" w:type="dxa"/>
          </w:tcPr>
          <w:p w14:paraId="73225299" w14:textId="77777777" w:rsidR="00F30E67" w:rsidRPr="00C2523C" w:rsidRDefault="00F30E67" w:rsidP="00277373">
            <w:pPr>
              <w:rPr>
                <w:rFonts w:cstheme="minorHAnsi"/>
                <w:b/>
                <w:sz w:val="24"/>
                <w:szCs w:val="24"/>
              </w:rPr>
            </w:pPr>
            <w:r w:rsidRPr="00C2523C">
              <w:rPr>
                <w:rFonts w:cstheme="minorHAnsi"/>
                <w:b/>
                <w:sz w:val="24"/>
                <w:szCs w:val="24"/>
              </w:rPr>
              <w:lastRenderedPageBreak/>
              <w:t>Uwaga wyjaśniona</w:t>
            </w:r>
          </w:p>
          <w:p w14:paraId="0E28365D" w14:textId="5BD54FA1" w:rsidR="00934144" w:rsidRPr="00C2523C" w:rsidRDefault="00F30E67">
            <w:pPr>
              <w:rPr>
                <w:rFonts w:cstheme="minorHAnsi"/>
                <w:sz w:val="24"/>
                <w:szCs w:val="24"/>
              </w:rPr>
            </w:pPr>
            <w:r w:rsidRPr="00C2523C">
              <w:rPr>
                <w:rFonts w:cstheme="minorHAnsi"/>
                <w:sz w:val="24"/>
                <w:szCs w:val="24"/>
              </w:rPr>
              <w:t xml:space="preserve">Jak słusznie wskazano w uwadze, definicje te różnią się, a ustawa Prawo komunikacji elektronicznej jest wciąż projektem aktu prawnego, dlatego zasadne jest pozostawienie definicji w obecnym brzmieniu. Jednocześnie możliwe jest </w:t>
            </w:r>
            <w:r w:rsidRPr="00C2523C">
              <w:rPr>
                <w:rFonts w:cstheme="minorHAnsi"/>
                <w:sz w:val="24"/>
                <w:szCs w:val="24"/>
              </w:rPr>
              <w:lastRenderedPageBreak/>
              <w:t xml:space="preserve">właściwe odczytanie normy prawnej w </w:t>
            </w:r>
            <w:r w:rsidR="007831B6" w:rsidRPr="00C2523C">
              <w:rPr>
                <w:rFonts w:cstheme="minorHAnsi"/>
                <w:sz w:val="24"/>
                <w:szCs w:val="24"/>
              </w:rPr>
              <w:t xml:space="preserve">odniesieniu do </w:t>
            </w:r>
            <w:r w:rsidRPr="00C2523C">
              <w:rPr>
                <w:rFonts w:cstheme="minorHAnsi"/>
                <w:sz w:val="24"/>
                <w:szCs w:val="24"/>
              </w:rPr>
              <w:t>obecn</w:t>
            </w:r>
            <w:r w:rsidR="007831B6" w:rsidRPr="00C2523C">
              <w:rPr>
                <w:rFonts w:cstheme="minorHAnsi"/>
                <w:sz w:val="24"/>
                <w:szCs w:val="24"/>
              </w:rPr>
              <w:t>ego</w:t>
            </w:r>
            <w:r w:rsidRPr="00C2523C">
              <w:rPr>
                <w:rFonts w:cstheme="minorHAnsi"/>
                <w:sz w:val="24"/>
                <w:szCs w:val="24"/>
              </w:rPr>
              <w:t xml:space="preserve"> stan</w:t>
            </w:r>
            <w:r w:rsidR="007831B6" w:rsidRPr="00C2523C">
              <w:rPr>
                <w:rFonts w:cstheme="minorHAnsi"/>
                <w:sz w:val="24"/>
                <w:szCs w:val="24"/>
              </w:rPr>
              <w:t>u</w:t>
            </w:r>
            <w:r w:rsidRPr="00C2523C">
              <w:rPr>
                <w:rFonts w:cstheme="minorHAnsi"/>
                <w:sz w:val="24"/>
                <w:szCs w:val="24"/>
              </w:rPr>
              <w:t xml:space="preserve"> prawn</w:t>
            </w:r>
            <w:r w:rsidR="007831B6" w:rsidRPr="00C2523C">
              <w:rPr>
                <w:rFonts w:cstheme="minorHAnsi"/>
                <w:sz w:val="24"/>
                <w:szCs w:val="24"/>
              </w:rPr>
              <w:t>ego</w:t>
            </w:r>
            <w:r w:rsidRPr="00C2523C">
              <w:rPr>
                <w:rFonts w:cstheme="minorHAnsi"/>
                <w:sz w:val="24"/>
                <w:szCs w:val="24"/>
              </w:rPr>
              <w:t>.</w:t>
            </w:r>
          </w:p>
        </w:tc>
      </w:tr>
      <w:tr w:rsidR="00C2523C" w:rsidRPr="00C2523C" w14:paraId="0F531396" w14:textId="77777777" w:rsidTr="002F0E46">
        <w:tc>
          <w:tcPr>
            <w:tcW w:w="762" w:type="dxa"/>
            <w:gridSpan w:val="2"/>
          </w:tcPr>
          <w:p w14:paraId="303A8A88" w14:textId="06C7B398" w:rsidR="00EF641D" w:rsidRPr="00C2523C" w:rsidRDefault="00EF641D"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50E13ED3" w14:textId="0E940770" w:rsidR="00EF641D" w:rsidRPr="00C2523C" w:rsidRDefault="00EF641D" w:rsidP="00277373">
            <w:pPr>
              <w:rPr>
                <w:rFonts w:cstheme="minorHAnsi"/>
                <w:sz w:val="24"/>
                <w:szCs w:val="24"/>
              </w:rPr>
            </w:pPr>
            <w:r w:rsidRPr="00C2523C">
              <w:rPr>
                <w:rFonts w:cstheme="minorHAnsi"/>
                <w:sz w:val="24"/>
                <w:szCs w:val="24"/>
              </w:rPr>
              <w:t>MON</w:t>
            </w:r>
          </w:p>
        </w:tc>
        <w:tc>
          <w:tcPr>
            <w:tcW w:w="1328" w:type="dxa"/>
          </w:tcPr>
          <w:p w14:paraId="64C6C93C" w14:textId="69880DF4" w:rsidR="00EF641D" w:rsidRPr="00C2523C" w:rsidRDefault="00EF641D" w:rsidP="00277373">
            <w:pPr>
              <w:rPr>
                <w:rFonts w:cstheme="minorHAnsi"/>
                <w:sz w:val="24"/>
                <w:szCs w:val="24"/>
              </w:rPr>
            </w:pPr>
            <w:r w:rsidRPr="00C2523C">
              <w:rPr>
                <w:rFonts w:cstheme="minorHAnsi"/>
                <w:sz w:val="24"/>
                <w:szCs w:val="24"/>
              </w:rPr>
              <w:t>Art. 3 ust. 1</w:t>
            </w:r>
          </w:p>
        </w:tc>
        <w:tc>
          <w:tcPr>
            <w:tcW w:w="7229" w:type="dxa"/>
          </w:tcPr>
          <w:p w14:paraId="4A4BF8A3" w14:textId="2A03AB97" w:rsidR="00EF641D" w:rsidRPr="00C2523C" w:rsidRDefault="00EF641D" w:rsidP="00EF641D">
            <w:pPr>
              <w:numPr>
                <w:ilvl w:val="0"/>
                <w:numId w:val="10"/>
              </w:numPr>
              <w:rPr>
                <w:rFonts w:cstheme="minorHAnsi"/>
                <w:sz w:val="24"/>
                <w:szCs w:val="24"/>
              </w:rPr>
            </w:pPr>
            <w:r w:rsidRPr="00C2523C">
              <w:rPr>
                <w:rFonts w:cstheme="minorHAnsi"/>
                <w:sz w:val="24"/>
                <w:szCs w:val="24"/>
              </w:rPr>
              <w:t>W art. 3 w ust. 1 proponuje się uzupełnić katalog nadużyć o dodatkowe punkty 4 i 5, w następującym brzmieniu:</w:t>
            </w:r>
          </w:p>
          <w:p w14:paraId="5F8E58E8" w14:textId="77777777" w:rsidR="00EF641D" w:rsidRPr="00C2523C" w:rsidRDefault="00EF641D" w:rsidP="00EF641D">
            <w:pPr>
              <w:rPr>
                <w:rFonts w:cstheme="minorHAnsi"/>
                <w:sz w:val="24"/>
                <w:szCs w:val="24"/>
              </w:rPr>
            </w:pPr>
          </w:p>
          <w:p w14:paraId="72F5B85C" w14:textId="77777777" w:rsidR="00EF641D" w:rsidRPr="00C2523C" w:rsidRDefault="00EF641D" w:rsidP="00EF641D">
            <w:pPr>
              <w:rPr>
                <w:rFonts w:cstheme="minorHAnsi"/>
                <w:i/>
                <w:sz w:val="24"/>
                <w:szCs w:val="24"/>
              </w:rPr>
            </w:pPr>
            <w:r w:rsidRPr="00C2523C">
              <w:rPr>
                <w:rFonts w:cstheme="minorHAnsi"/>
                <w:i/>
                <w:sz w:val="24"/>
                <w:szCs w:val="24"/>
              </w:rPr>
              <w:t>„4) nieuprawnionego używania telekomunikacyjnych urządzeń końcowych i automatycznych systemów wywołujących do celów marketingu bezpośredniego lub przesyłania niezamówionej informacji handlowej, bez posiadania uprzedniej, bezpośredniej zgody abonenta lub użytkownika końcowego, o której mowa w art. 172 ust. 1 ustawy z dnia 16 lipca 2004 r. - Prawo telekomunikacyjne;</w:t>
            </w:r>
          </w:p>
          <w:p w14:paraId="57AE99D5" w14:textId="77777777" w:rsidR="00EF641D" w:rsidRPr="00C2523C" w:rsidRDefault="00EF641D" w:rsidP="00EF641D">
            <w:pPr>
              <w:rPr>
                <w:rFonts w:cstheme="minorHAnsi"/>
                <w:sz w:val="24"/>
                <w:szCs w:val="24"/>
              </w:rPr>
            </w:pPr>
          </w:p>
          <w:p w14:paraId="60505652" w14:textId="77777777" w:rsidR="00EF641D" w:rsidRPr="00C2523C" w:rsidRDefault="00EF641D" w:rsidP="00EF641D">
            <w:pPr>
              <w:rPr>
                <w:rFonts w:cstheme="minorHAnsi"/>
                <w:i/>
                <w:sz w:val="24"/>
                <w:szCs w:val="24"/>
              </w:rPr>
            </w:pPr>
            <w:r w:rsidRPr="00C2523C">
              <w:rPr>
                <w:rFonts w:cstheme="minorHAnsi"/>
                <w:i/>
                <w:sz w:val="24"/>
                <w:szCs w:val="24"/>
              </w:rPr>
              <w:t>5) nieuprawnionego wykorzystania danych o lokalizacji urządzeń końcowych, wykraczających poza dane niezbędne do transmisji zamówionego komunikatu, o których mowa w art. 159 ust. 1 pkt 4 ustawy z dnia 16 lipca 2004 r. – Prawo telekomunikacyjne, w szczególności wykorzystania danych pochodzących z systemów sygnalizacji SS7 oraz adresów IP pozyskiwanych przy wykorzystaniu znaczników śledzących.”.</w:t>
            </w:r>
          </w:p>
          <w:p w14:paraId="050C6EBF" w14:textId="77777777" w:rsidR="00EF641D" w:rsidRPr="00C2523C" w:rsidRDefault="00EF641D" w:rsidP="00EF641D">
            <w:pPr>
              <w:rPr>
                <w:rFonts w:cstheme="minorHAnsi"/>
                <w:sz w:val="24"/>
                <w:szCs w:val="24"/>
              </w:rPr>
            </w:pPr>
          </w:p>
          <w:p w14:paraId="49013887" w14:textId="77777777" w:rsidR="00EF641D" w:rsidRPr="00C2523C" w:rsidRDefault="00EF641D" w:rsidP="00EF641D">
            <w:pPr>
              <w:rPr>
                <w:rFonts w:cstheme="minorHAnsi"/>
                <w:sz w:val="24"/>
                <w:szCs w:val="24"/>
              </w:rPr>
            </w:pPr>
            <w:r w:rsidRPr="00C2523C">
              <w:rPr>
                <w:rFonts w:cstheme="minorHAnsi"/>
                <w:sz w:val="24"/>
                <w:szCs w:val="24"/>
              </w:rPr>
              <w:t>Uzasadnieniem do rozszerzenia katalogu nadużyć jest coraz powszechniejsze zjawisko prób wyłudzenia danych pracowników instytucji rządowych pod pretekstem prowadzenia kampanii marketingowych oraz dodatkowo przeprowadzanie prób ustalenia aktualnych danych lokalizacyjnych tych osób.</w:t>
            </w:r>
          </w:p>
          <w:p w14:paraId="4EE27426" w14:textId="77777777" w:rsidR="00EF641D" w:rsidRPr="00C2523C" w:rsidRDefault="00EF641D" w:rsidP="00EF641D">
            <w:pPr>
              <w:rPr>
                <w:rFonts w:cstheme="minorHAnsi"/>
                <w:sz w:val="24"/>
                <w:szCs w:val="24"/>
              </w:rPr>
            </w:pPr>
          </w:p>
          <w:p w14:paraId="608EBF3A" w14:textId="77777777" w:rsidR="00EF641D" w:rsidRPr="00C2523C" w:rsidRDefault="00EF641D" w:rsidP="00EF641D">
            <w:pPr>
              <w:rPr>
                <w:rFonts w:cstheme="minorHAnsi"/>
                <w:sz w:val="24"/>
                <w:szCs w:val="24"/>
              </w:rPr>
            </w:pPr>
            <w:r w:rsidRPr="00C2523C">
              <w:rPr>
                <w:rFonts w:cstheme="minorHAnsi"/>
                <w:sz w:val="24"/>
                <w:szCs w:val="24"/>
              </w:rPr>
              <w:t>W konsekwencji powyższej uwagi, proponuje się rozszerzyć katalog kar określonych w art. 15 i 16</w:t>
            </w:r>
            <w:r w:rsidRPr="00C2523C">
              <w:rPr>
                <w:rFonts w:cstheme="minorHAnsi"/>
                <w:b/>
                <w:sz w:val="24"/>
                <w:szCs w:val="24"/>
              </w:rPr>
              <w:t xml:space="preserve"> </w:t>
            </w:r>
            <w:r w:rsidRPr="00C2523C">
              <w:rPr>
                <w:rFonts w:cstheme="minorHAnsi"/>
                <w:sz w:val="24"/>
                <w:szCs w:val="24"/>
              </w:rPr>
              <w:t xml:space="preserve">o uzupełnione formy wykroczeń (art. 3 ust. 1 </w:t>
            </w:r>
            <w:r w:rsidRPr="00C2523C">
              <w:rPr>
                <w:rFonts w:cstheme="minorHAnsi"/>
                <w:sz w:val="24"/>
                <w:szCs w:val="24"/>
              </w:rPr>
              <w:lastRenderedPageBreak/>
              <w:t xml:space="preserve">pkt 4 i 5), z tym zastrzeżeniem, że w przypadku powtarzalności wykroczeń, o których mowa w art. 3 ust. 1 pkt 4 i 5 w stosunku do użytkowników rządowych oraz jednoczesnym wykroczeniu z art. 3 ust. 1 pkt 4 lub 5 w przypadku osób prywatnych - możliwą karą byłoby odcięcie sprawcy dostępu do publicznej sieci telekomunikacyjnej. Szczegółowe rozwiązania dotyczące kar za wykroczenia z art. 3 ust. 1 pkt 4 i 5 proponuję wypracować w toku dalszych prac nad projektowaną ustawą. </w:t>
            </w:r>
          </w:p>
          <w:p w14:paraId="6C340010" w14:textId="3932968F" w:rsidR="00EF641D" w:rsidRPr="00C2523C" w:rsidRDefault="00EF641D" w:rsidP="00277373">
            <w:pPr>
              <w:rPr>
                <w:rFonts w:cstheme="minorHAnsi"/>
                <w:sz w:val="24"/>
                <w:szCs w:val="24"/>
              </w:rPr>
            </w:pPr>
          </w:p>
        </w:tc>
        <w:tc>
          <w:tcPr>
            <w:tcW w:w="3509" w:type="dxa"/>
          </w:tcPr>
          <w:p w14:paraId="18F4E831" w14:textId="77777777" w:rsidR="00F30E67" w:rsidRPr="00C2523C" w:rsidRDefault="00F30E67" w:rsidP="00277373">
            <w:pPr>
              <w:rPr>
                <w:rFonts w:cstheme="minorHAnsi"/>
                <w:b/>
                <w:sz w:val="24"/>
                <w:szCs w:val="24"/>
              </w:rPr>
            </w:pPr>
            <w:r w:rsidRPr="00C2523C">
              <w:rPr>
                <w:rFonts w:cstheme="minorHAnsi"/>
                <w:b/>
                <w:sz w:val="24"/>
                <w:szCs w:val="24"/>
              </w:rPr>
              <w:lastRenderedPageBreak/>
              <w:t>Uwaga wyjaśniona</w:t>
            </w:r>
          </w:p>
          <w:p w14:paraId="611492B4" w14:textId="5839AC54" w:rsidR="00934144" w:rsidRPr="00C2523C" w:rsidRDefault="00F30E67">
            <w:pPr>
              <w:rPr>
                <w:rFonts w:cstheme="minorHAnsi"/>
                <w:sz w:val="24"/>
                <w:szCs w:val="24"/>
              </w:rPr>
            </w:pPr>
            <w:r w:rsidRPr="00C2523C">
              <w:rPr>
                <w:rFonts w:cstheme="minorHAnsi"/>
                <w:sz w:val="24"/>
                <w:szCs w:val="24"/>
              </w:rPr>
              <w:t xml:space="preserve">Niedozwolony marketing bezpośredni i przesyłanie niezamówionej informacji handlowej może mieścić w szerokorozumianym zjawisku nadużyć </w:t>
            </w:r>
            <w:r w:rsidR="001E760A" w:rsidRPr="00C2523C">
              <w:rPr>
                <w:rFonts w:cstheme="minorHAnsi"/>
                <w:sz w:val="24"/>
                <w:szCs w:val="24"/>
              </w:rPr>
              <w:t>w komunikacji elektronicznej</w:t>
            </w:r>
            <w:r w:rsidRPr="00C2523C">
              <w:rPr>
                <w:rFonts w:cstheme="minorHAnsi"/>
                <w:sz w:val="24"/>
                <w:szCs w:val="24"/>
              </w:rPr>
              <w:t>, natomiast różni się od pozostałych nadużyć wskazanych wprost w projektowanej ustawie o zwalczaniu nadużyć w komunikacji elektronicznej</w:t>
            </w:r>
            <w:r w:rsidR="00934144" w:rsidRPr="00C2523C">
              <w:rPr>
                <w:rFonts w:cstheme="minorHAnsi"/>
                <w:sz w:val="24"/>
                <w:szCs w:val="24"/>
              </w:rPr>
              <w:t>. Biorąc pod uwagę, że zgodnie z założeniami ustawy to przedsiębiorca telekomunikacyjny jest obowiązany do podejmowania proporcjonalnych środków technicznych i organizacyjnych mających na celu zapobieganie nadużyciom w komunikacji elektronicznej i ich zwalczanie, nie jest zasadne</w:t>
            </w:r>
            <w:r w:rsidR="00AD358C" w:rsidRPr="00C2523C">
              <w:rPr>
                <w:rFonts w:cstheme="minorHAnsi"/>
                <w:sz w:val="24"/>
                <w:szCs w:val="24"/>
              </w:rPr>
              <w:t xml:space="preserve"> wyodrębnianie kolejnej kategorii nadużyć</w:t>
            </w:r>
            <w:r w:rsidR="00934144" w:rsidRPr="00C2523C">
              <w:rPr>
                <w:rFonts w:cstheme="minorHAnsi"/>
                <w:sz w:val="24"/>
                <w:szCs w:val="24"/>
              </w:rPr>
              <w:t>.</w:t>
            </w:r>
          </w:p>
          <w:p w14:paraId="0D91DB37" w14:textId="215CBC3D" w:rsidR="00934144" w:rsidRPr="00C2523C" w:rsidRDefault="00934144">
            <w:pPr>
              <w:rPr>
                <w:rFonts w:cstheme="minorHAnsi"/>
                <w:sz w:val="24"/>
                <w:szCs w:val="24"/>
              </w:rPr>
            </w:pPr>
            <w:r w:rsidRPr="00C2523C">
              <w:rPr>
                <w:rFonts w:cstheme="minorHAnsi"/>
                <w:sz w:val="24"/>
                <w:szCs w:val="24"/>
              </w:rPr>
              <w:lastRenderedPageBreak/>
              <w:t>Uzasadnienie pozostaje aktualne w kontekście postulatu dodania nieuprawnionego wykorzystania danych o lokalizacji urządzeń końcowych, wykraczających poza dane niezbędne do transmisji zamówionego komunikatu, jako nadużycia telekomunikacyjnego.</w:t>
            </w:r>
          </w:p>
          <w:p w14:paraId="7398039C" w14:textId="7DAE4773" w:rsidR="00934144" w:rsidRPr="00C2523C" w:rsidRDefault="00934144">
            <w:pPr>
              <w:rPr>
                <w:rFonts w:cstheme="minorHAnsi"/>
                <w:sz w:val="24"/>
                <w:szCs w:val="24"/>
              </w:rPr>
            </w:pPr>
          </w:p>
          <w:p w14:paraId="21F356BB" w14:textId="3A081E27" w:rsidR="00EF641D" w:rsidRPr="00C2523C" w:rsidRDefault="00934144">
            <w:pPr>
              <w:rPr>
                <w:rFonts w:cstheme="minorHAnsi"/>
                <w:sz w:val="24"/>
                <w:szCs w:val="24"/>
              </w:rPr>
            </w:pPr>
            <w:r w:rsidRPr="00C2523C">
              <w:rPr>
                <w:rFonts w:cstheme="minorHAnsi"/>
                <w:sz w:val="24"/>
                <w:szCs w:val="24"/>
              </w:rPr>
              <w:t xml:space="preserve">Zasadne jest więc pozostawienie rzeczonej </w:t>
            </w:r>
            <w:r w:rsidR="003E4E3B" w:rsidRPr="00C2523C">
              <w:rPr>
                <w:rFonts w:cstheme="minorHAnsi"/>
                <w:sz w:val="24"/>
                <w:szCs w:val="24"/>
              </w:rPr>
              <w:t xml:space="preserve">regulacji w </w:t>
            </w:r>
            <w:r w:rsidRPr="00C2523C">
              <w:rPr>
                <w:rFonts w:cstheme="minorHAnsi"/>
                <w:sz w:val="24"/>
                <w:szCs w:val="24"/>
              </w:rPr>
              <w:t xml:space="preserve">ustawie </w:t>
            </w:r>
            <w:r w:rsidR="003E4E3B" w:rsidRPr="00C2523C">
              <w:rPr>
                <w:rFonts w:cstheme="minorHAnsi"/>
                <w:sz w:val="24"/>
                <w:szCs w:val="24"/>
              </w:rPr>
              <w:t>Praw</w:t>
            </w:r>
            <w:r w:rsidRPr="00C2523C">
              <w:rPr>
                <w:rFonts w:cstheme="minorHAnsi"/>
                <w:sz w:val="24"/>
                <w:szCs w:val="24"/>
              </w:rPr>
              <w:t>o</w:t>
            </w:r>
            <w:r w:rsidR="003E4E3B" w:rsidRPr="00C2523C">
              <w:rPr>
                <w:rFonts w:cstheme="minorHAnsi"/>
                <w:sz w:val="24"/>
                <w:szCs w:val="24"/>
              </w:rPr>
              <w:t xml:space="preserve"> telekomunikacyj</w:t>
            </w:r>
            <w:r w:rsidRPr="00C2523C">
              <w:rPr>
                <w:rFonts w:cstheme="minorHAnsi"/>
                <w:sz w:val="24"/>
                <w:szCs w:val="24"/>
              </w:rPr>
              <w:t>ne</w:t>
            </w:r>
            <w:r w:rsidR="003E4E3B" w:rsidRPr="00C2523C">
              <w:rPr>
                <w:rFonts w:cstheme="minorHAnsi"/>
                <w:sz w:val="24"/>
                <w:szCs w:val="24"/>
              </w:rPr>
              <w:t xml:space="preserve"> (i projektowanym Prawie komunikacji elektronicznej, zgodnie z wersją z 5 maja 2022 r. do tego zagadnienia odnosi się art. 393 projektu).</w:t>
            </w:r>
          </w:p>
        </w:tc>
      </w:tr>
      <w:tr w:rsidR="00C2523C" w:rsidRPr="00C2523C" w14:paraId="1050F841" w14:textId="77777777" w:rsidTr="002F0E46">
        <w:tc>
          <w:tcPr>
            <w:tcW w:w="762" w:type="dxa"/>
            <w:gridSpan w:val="2"/>
          </w:tcPr>
          <w:p w14:paraId="23CAA716" w14:textId="77777777" w:rsidR="00627393" w:rsidRPr="00C2523C" w:rsidRDefault="00627393"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3078B901" w14:textId="66523C54" w:rsidR="00627393" w:rsidRPr="00C2523C" w:rsidRDefault="00627393" w:rsidP="00277373">
            <w:pPr>
              <w:rPr>
                <w:rFonts w:cstheme="minorHAnsi"/>
                <w:sz w:val="24"/>
                <w:szCs w:val="24"/>
              </w:rPr>
            </w:pPr>
            <w:r w:rsidRPr="00C2523C">
              <w:rPr>
                <w:rFonts w:cstheme="minorHAnsi"/>
                <w:sz w:val="24"/>
                <w:szCs w:val="24"/>
              </w:rPr>
              <w:t>MKSS</w:t>
            </w:r>
          </w:p>
        </w:tc>
        <w:tc>
          <w:tcPr>
            <w:tcW w:w="1328" w:type="dxa"/>
          </w:tcPr>
          <w:p w14:paraId="225E362E" w14:textId="62432394" w:rsidR="00627393" w:rsidRPr="00C2523C" w:rsidRDefault="00627393" w:rsidP="00277373">
            <w:pPr>
              <w:rPr>
                <w:rFonts w:cstheme="minorHAnsi"/>
                <w:sz w:val="24"/>
                <w:szCs w:val="24"/>
              </w:rPr>
            </w:pPr>
            <w:r w:rsidRPr="00C2523C">
              <w:rPr>
                <w:rFonts w:cstheme="minorHAnsi"/>
                <w:sz w:val="24"/>
                <w:szCs w:val="24"/>
              </w:rPr>
              <w:t xml:space="preserve">Art.3 </w:t>
            </w:r>
          </w:p>
        </w:tc>
        <w:tc>
          <w:tcPr>
            <w:tcW w:w="7229" w:type="dxa"/>
          </w:tcPr>
          <w:p w14:paraId="13513BE2" w14:textId="44B8CD11" w:rsidR="00627393" w:rsidRPr="00C2523C" w:rsidRDefault="00627393" w:rsidP="002F0E46">
            <w:pPr>
              <w:rPr>
                <w:rFonts w:cstheme="minorHAnsi"/>
                <w:sz w:val="24"/>
                <w:szCs w:val="24"/>
              </w:rPr>
            </w:pPr>
            <w:r w:rsidRPr="00C2523C">
              <w:rPr>
                <w:rFonts w:cstheme="minorHAnsi"/>
                <w:sz w:val="24"/>
                <w:szCs w:val="24"/>
              </w:rPr>
              <w:t xml:space="preserve">Zwracam również uwagę na przepisy regulujące kwestie zjawiska CLI </w:t>
            </w:r>
            <w:r w:rsidRPr="00C2523C">
              <w:rPr>
                <w:rFonts w:cstheme="minorHAnsi"/>
                <w:i/>
                <w:sz w:val="24"/>
                <w:szCs w:val="24"/>
              </w:rPr>
              <w:t>spoofingu</w:t>
            </w:r>
            <w:r w:rsidRPr="00C2523C">
              <w:rPr>
                <w:rFonts w:cstheme="minorHAnsi"/>
                <w:sz w:val="24"/>
                <w:szCs w:val="24"/>
              </w:rPr>
              <w:t xml:space="preserve">, rozumianego przez projektodawcę jako nieuprawnione posłużenie się przez użytkownika wywołującego połączenie głosowe informacją adresową wskazującą na osobę lub jednostkę organizacyjną inną niż ten użytkownik, służące podszyciu się pod inny podmiot w celu nakłonienia odbiorcy połączenia do określonego działania (art. 3 ust. 1 pkt 3). Przepisy dotyczące zapobiegania i zwalczania CLI </w:t>
            </w:r>
            <w:r w:rsidRPr="00C2523C">
              <w:rPr>
                <w:rFonts w:cstheme="minorHAnsi"/>
                <w:i/>
                <w:sz w:val="24"/>
                <w:szCs w:val="24"/>
              </w:rPr>
              <w:t>spoofingu</w:t>
            </w:r>
            <w:r w:rsidRPr="00C2523C">
              <w:rPr>
                <w:rFonts w:cstheme="minorHAnsi"/>
                <w:sz w:val="24"/>
                <w:szCs w:val="24"/>
              </w:rPr>
              <w:t xml:space="preserve">, powinny zostać uzupełnione o kwestie regulujące ogólne zasady oraz warunki stosowania mechanizmu blokowania niechcianych połączeń telefonicznych, podobnie jak ma to miejsce w kontekście </w:t>
            </w:r>
            <w:r w:rsidRPr="00C2523C">
              <w:rPr>
                <w:rFonts w:cstheme="minorHAnsi"/>
                <w:i/>
                <w:sz w:val="24"/>
                <w:szCs w:val="24"/>
              </w:rPr>
              <w:t>smishingu</w:t>
            </w:r>
          </w:p>
        </w:tc>
        <w:tc>
          <w:tcPr>
            <w:tcW w:w="3509" w:type="dxa"/>
          </w:tcPr>
          <w:p w14:paraId="3A59E576" w14:textId="64799430" w:rsidR="00627393" w:rsidRPr="00C2523C" w:rsidRDefault="00384BB8" w:rsidP="00277373">
            <w:pPr>
              <w:rPr>
                <w:rFonts w:cstheme="minorHAnsi"/>
                <w:b/>
                <w:sz w:val="24"/>
                <w:szCs w:val="24"/>
              </w:rPr>
            </w:pPr>
            <w:r w:rsidRPr="00C2523C">
              <w:rPr>
                <w:rFonts w:cstheme="minorHAnsi"/>
                <w:b/>
                <w:sz w:val="24"/>
                <w:szCs w:val="24"/>
              </w:rPr>
              <w:t>Uwaga wyjaśniona</w:t>
            </w:r>
            <w:r w:rsidR="00627393" w:rsidRPr="00C2523C">
              <w:rPr>
                <w:rFonts w:cstheme="minorHAnsi"/>
                <w:b/>
                <w:sz w:val="24"/>
                <w:szCs w:val="24"/>
              </w:rPr>
              <w:t xml:space="preserve"> </w:t>
            </w:r>
          </w:p>
          <w:p w14:paraId="2E731748" w14:textId="5D0C9496" w:rsidR="00627393" w:rsidRPr="00C2523C" w:rsidRDefault="00DC3FD6" w:rsidP="00277373">
            <w:pPr>
              <w:rPr>
                <w:rFonts w:cstheme="minorHAnsi"/>
                <w:sz w:val="24"/>
                <w:szCs w:val="24"/>
              </w:rPr>
            </w:pPr>
            <w:r w:rsidRPr="00C2523C">
              <w:rPr>
                <w:rFonts w:cstheme="minorHAnsi"/>
                <w:sz w:val="24"/>
                <w:szCs w:val="24"/>
              </w:rPr>
              <w:t xml:space="preserve">Szczegóły związane z tymi mechanizmy będą zawarte w porozumieniu z </w:t>
            </w:r>
            <w:r w:rsidR="00372A52" w:rsidRPr="00C2523C">
              <w:rPr>
                <w:rFonts w:cstheme="minorHAnsi"/>
                <w:sz w:val="24"/>
                <w:szCs w:val="24"/>
              </w:rPr>
              <w:t>P</w:t>
            </w:r>
            <w:r w:rsidRPr="00C2523C">
              <w:rPr>
                <w:rFonts w:cstheme="minorHAnsi"/>
                <w:sz w:val="24"/>
                <w:szCs w:val="24"/>
              </w:rPr>
              <w:t xml:space="preserve">rezesem UKE albo w rekomendacjach Prezesa UKE. </w:t>
            </w:r>
          </w:p>
        </w:tc>
      </w:tr>
      <w:tr w:rsidR="00C2523C" w:rsidRPr="00C2523C" w14:paraId="4F6D7DB8" w14:textId="77777777" w:rsidTr="002F0E46">
        <w:tc>
          <w:tcPr>
            <w:tcW w:w="762" w:type="dxa"/>
            <w:gridSpan w:val="2"/>
          </w:tcPr>
          <w:p w14:paraId="5E5AB964" w14:textId="25C4A5ED" w:rsidR="00225989" w:rsidRPr="00C2523C" w:rsidRDefault="00225989"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59871BCD" w14:textId="62BA2E03" w:rsidR="00225989" w:rsidRPr="00C2523C" w:rsidRDefault="00225989" w:rsidP="00277373">
            <w:pPr>
              <w:rPr>
                <w:rFonts w:cstheme="minorHAnsi"/>
                <w:sz w:val="24"/>
                <w:szCs w:val="24"/>
              </w:rPr>
            </w:pPr>
            <w:r w:rsidRPr="00C2523C">
              <w:rPr>
                <w:rFonts w:cstheme="minorHAnsi"/>
                <w:sz w:val="24"/>
                <w:szCs w:val="24"/>
              </w:rPr>
              <w:t>MKSS</w:t>
            </w:r>
          </w:p>
        </w:tc>
        <w:tc>
          <w:tcPr>
            <w:tcW w:w="1328" w:type="dxa"/>
          </w:tcPr>
          <w:p w14:paraId="2F426595" w14:textId="2736D400" w:rsidR="00225989" w:rsidRPr="00C2523C" w:rsidRDefault="00225989" w:rsidP="00277373">
            <w:pPr>
              <w:rPr>
                <w:rFonts w:cstheme="minorHAnsi"/>
                <w:sz w:val="24"/>
                <w:szCs w:val="24"/>
              </w:rPr>
            </w:pPr>
            <w:r w:rsidRPr="00C2523C">
              <w:rPr>
                <w:rFonts w:cstheme="minorHAnsi"/>
                <w:sz w:val="24"/>
                <w:szCs w:val="24"/>
              </w:rPr>
              <w:t>Art. 3 ust. 1</w:t>
            </w:r>
            <w:r w:rsidR="00BF72A3" w:rsidRPr="00C2523C">
              <w:rPr>
                <w:rFonts w:cstheme="minorHAnsi"/>
                <w:sz w:val="24"/>
                <w:szCs w:val="24"/>
              </w:rPr>
              <w:t xml:space="preserve"> </w:t>
            </w:r>
          </w:p>
        </w:tc>
        <w:tc>
          <w:tcPr>
            <w:tcW w:w="7229" w:type="dxa"/>
          </w:tcPr>
          <w:p w14:paraId="6E8E51DC" w14:textId="77777777" w:rsidR="00225989" w:rsidRPr="00C2523C" w:rsidRDefault="00225989" w:rsidP="00372A52">
            <w:pPr>
              <w:rPr>
                <w:rFonts w:cstheme="minorHAnsi"/>
                <w:sz w:val="24"/>
                <w:szCs w:val="24"/>
              </w:rPr>
            </w:pPr>
            <w:r w:rsidRPr="00C2523C">
              <w:rPr>
                <w:rFonts w:cstheme="minorHAnsi"/>
                <w:sz w:val="24"/>
                <w:szCs w:val="24"/>
              </w:rPr>
              <w:t xml:space="preserve">Odnosząc się do zjawiska </w:t>
            </w:r>
            <w:r w:rsidRPr="00C2523C">
              <w:rPr>
                <w:rFonts w:cstheme="minorHAnsi"/>
                <w:i/>
                <w:sz w:val="24"/>
                <w:szCs w:val="24"/>
              </w:rPr>
              <w:t>smishingu</w:t>
            </w:r>
            <w:r w:rsidRPr="00C2523C">
              <w:rPr>
                <w:rFonts w:cstheme="minorHAnsi"/>
                <w:sz w:val="24"/>
                <w:szCs w:val="24"/>
              </w:rPr>
              <w:t xml:space="preserve">, rozumianego przez projektodawcę jako podszywanie się przez nadawcę pod inny podmiot w celu nakłonienia odbiorcy tej wiadomości do określonego działania (art. 3 </w:t>
            </w:r>
            <w:r w:rsidRPr="00C2523C">
              <w:rPr>
                <w:rFonts w:cstheme="minorHAnsi"/>
                <w:sz w:val="24"/>
                <w:szCs w:val="24"/>
              </w:rPr>
              <w:lastRenderedPageBreak/>
              <w:t xml:space="preserve">ust. 1 pkt 2), należy zauważyć, że przedmiotowy projekt koncentruje się na zwalczaniu zjawiska </w:t>
            </w:r>
            <w:r w:rsidRPr="00C2523C">
              <w:rPr>
                <w:rFonts w:cstheme="minorHAnsi"/>
                <w:i/>
                <w:sz w:val="24"/>
                <w:szCs w:val="24"/>
              </w:rPr>
              <w:t>smishingu</w:t>
            </w:r>
            <w:r w:rsidRPr="00C2523C">
              <w:rPr>
                <w:rFonts w:cstheme="minorHAnsi"/>
                <w:sz w:val="24"/>
                <w:szCs w:val="24"/>
              </w:rPr>
              <w:t xml:space="preserve"> zasadniczo wyłącznie w odniesieniu do usługi przesyłania krótkich wiadomości tekstowych (SMS), co zdecydowanie ogranicza efektywność zakładanej regulacji. Zasadne jest, aby projektowane rozwiązania obejmowały również usługę wiadomości multimedialnych (MMS) oraz najnowszy, wdrażany obecnie standard komunikacji mobilnej RCS. Jednocześnie, w celu zapewnienia zrozumiałości proponowanych przepisów, proponuję przeniesienie do art. 2 projektu definicji pojęcia „</w:t>
            </w:r>
            <w:r w:rsidRPr="00C2523C">
              <w:rPr>
                <w:rFonts w:cstheme="minorHAnsi"/>
                <w:i/>
                <w:sz w:val="24"/>
                <w:szCs w:val="24"/>
              </w:rPr>
              <w:t>smishing</w:t>
            </w:r>
            <w:r w:rsidRPr="00C2523C">
              <w:rPr>
                <w:rFonts w:cstheme="minorHAnsi"/>
                <w:sz w:val="24"/>
                <w:szCs w:val="24"/>
              </w:rPr>
              <w:t>”, jak i pozostałych, wymienionych w ustawie rodzajów działań mających cechy nadużyć, o których mowa w projektowanej ustawie (art. 3 ust. 1).</w:t>
            </w:r>
          </w:p>
          <w:p w14:paraId="213FE45D" w14:textId="77777777" w:rsidR="00225989" w:rsidRPr="00C2523C" w:rsidRDefault="00225989" w:rsidP="002F0E46">
            <w:pPr>
              <w:ind w:left="360"/>
              <w:rPr>
                <w:rFonts w:cstheme="minorHAnsi"/>
                <w:sz w:val="24"/>
                <w:szCs w:val="24"/>
              </w:rPr>
            </w:pPr>
          </w:p>
        </w:tc>
        <w:tc>
          <w:tcPr>
            <w:tcW w:w="3509" w:type="dxa"/>
          </w:tcPr>
          <w:p w14:paraId="250B07F5" w14:textId="3794F5B9" w:rsidR="00225989" w:rsidRPr="00C2523C" w:rsidRDefault="00225989" w:rsidP="00277373">
            <w:pPr>
              <w:rPr>
                <w:rFonts w:cstheme="minorHAnsi"/>
                <w:b/>
                <w:sz w:val="24"/>
                <w:szCs w:val="24"/>
              </w:rPr>
            </w:pPr>
            <w:r w:rsidRPr="00C2523C">
              <w:rPr>
                <w:rFonts w:cstheme="minorHAnsi"/>
                <w:b/>
                <w:sz w:val="24"/>
                <w:szCs w:val="24"/>
              </w:rPr>
              <w:lastRenderedPageBreak/>
              <w:t xml:space="preserve">Uwaga </w:t>
            </w:r>
            <w:r w:rsidR="000E3009" w:rsidRPr="00C2523C">
              <w:rPr>
                <w:rFonts w:cstheme="minorHAnsi"/>
                <w:b/>
                <w:sz w:val="24"/>
                <w:szCs w:val="24"/>
              </w:rPr>
              <w:t>wyjaśniona</w:t>
            </w:r>
            <w:r w:rsidRPr="00C2523C">
              <w:rPr>
                <w:rFonts w:cstheme="minorHAnsi"/>
                <w:b/>
                <w:sz w:val="24"/>
                <w:szCs w:val="24"/>
              </w:rPr>
              <w:t xml:space="preserve"> </w:t>
            </w:r>
          </w:p>
          <w:p w14:paraId="2B289875" w14:textId="32321C52" w:rsidR="00225989" w:rsidRPr="00C2523C" w:rsidRDefault="00225989" w:rsidP="00277373">
            <w:pPr>
              <w:rPr>
                <w:rFonts w:cstheme="minorHAnsi"/>
                <w:sz w:val="24"/>
                <w:szCs w:val="24"/>
              </w:rPr>
            </w:pPr>
            <w:r w:rsidRPr="00C2523C">
              <w:rPr>
                <w:rFonts w:cstheme="minorHAnsi"/>
                <w:sz w:val="24"/>
                <w:szCs w:val="24"/>
              </w:rPr>
              <w:t xml:space="preserve">W innych przepisach ustawy została uwzględniona kwestia </w:t>
            </w:r>
            <w:r w:rsidRPr="00C2523C">
              <w:rPr>
                <w:rFonts w:cstheme="minorHAnsi"/>
                <w:sz w:val="24"/>
                <w:szCs w:val="24"/>
              </w:rPr>
              <w:lastRenderedPageBreak/>
              <w:t>przeciwdziałania nadużyciom w telekomunikacji dokonywanym za pomocą MMS.</w:t>
            </w:r>
          </w:p>
        </w:tc>
      </w:tr>
      <w:tr w:rsidR="00C2523C" w:rsidRPr="00C2523C" w14:paraId="0FECBAEA" w14:textId="77777777" w:rsidTr="002F0E46">
        <w:tc>
          <w:tcPr>
            <w:tcW w:w="762" w:type="dxa"/>
            <w:gridSpan w:val="2"/>
          </w:tcPr>
          <w:p w14:paraId="102B3AF4" w14:textId="333D0750" w:rsidR="00052629" w:rsidRPr="00C2523C" w:rsidRDefault="00052629" w:rsidP="00D45C28">
            <w:pPr>
              <w:pStyle w:val="Akapitzlist"/>
              <w:numPr>
                <w:ilvl w:val="0"/>
                <w:numId w:val="9"/>
              </w:numPr>
              <w:spacing w:line="240" w:lineRule="auto"/>
              <w:ind w:left="567"/>
              <w:rPr>
                <w:rFonts w:asciiTheme="minorHAnsi" w:hAnsiTheme="minorHAnsi" w:cstheme="minorHAnsi"/>
                <w:sz w:val="24"/>
                <w:szCs w:val="24"/>
              </w:rPr>
            </w:pPr>
          </w:p>
        </w:tc>
        <w:tc>
          <w:tcPr>
            <w:tcW w:w="1166" w:type="dxa"/>
          </w:tcPr>
          <w:p w14:paraId="65814D1F" w14:textId="32295847" w:rsidR="00052629" w:rsidRPr="00C2523C" w:rsidRDefault="00052629" w:rsidP="00277373">
            <w:pPr>
              <w:rPr>
                <w:rFonts w:cstheme="minorHAnsi"/>
                <w:sz w:val="24"/>
                <w:szCs w:val="24"/>
              </w:rPr>
            </w:pPr>
            <w:r w:rsidRPr="00C2523C">
              <w:rPr>
                <w:rFonts w:cstheme="minorHAnsi"/>
                <w:sz w:val="24"/>
                <w:szCs w:val="24"/>
              </w:rPr>
              <w:t>MRiT</w:t>
            </w:r>
          </w:p>
        </w:tc>
        <w:tc>
          <w:tcPr>
            <w:tcW w:w="1328" w:type="dxa"/>
          </w:tcPr>
          <w:p w14:paraId="2C789E17" w14:textId="1A17F68E" w:rsidR="00052629" w:rsidRPr="00C2523C" w:rsidRDefault="00052629" w:rsidP="00277373">
            <w:pPr>
              <w:rPr>
                <w:rFonts w:cstheme="minorHAnsi"/>
                <w:sz w:val="24"/>
                <w:szCs w:val="24"/>
              </w:rPr>
            </w:pPr>
            <w:r w:rsidRPr="00C2523C">
              <w:rPr>
                <w:rFonts w:cstheme="minorHAnsi"/>
                <w:sz w:val="24"/>
                <w:szCs w:val="24"/>
              </w:rPr>
              <w:t>Art. 3 ust. 2</w:t>
            </w:r>
          </w:p>
        </w:tc>
        <w:tc>
          <w:tcPr>
            <w:tcW w:w="7229" w:type="dxa"/>
          </w:tcPr>
          <w:p w14:paraId="793A468D" w14:textId="53BD9CAE" w:rsidR="00052629" w:rsidRPr="00C2523C" w:rsidRDefault="00052629" w:rsidP="00052629">
            <w:pPr>
              <w:autoSpaceDE w:val="0"/>
              <w:autoSpaceDN w:val="0"/>
              <w:adjustRightInd w:val="0"/>
              <w:rPr>
                <w:rFonts w:ascii="Calibri" w:hAnsi="Calibri" w:cs="Calibri"/>
                <w:sz w:val="24"/>
                <w:szCs w:val="24"/>
              </w:rPr>
            </w:pPr>
            <w:r w:rsidRPr="00C2523C">
              <w:rPr>
                <w:rFonts w:ascii="Calibri" w:hAnsi="Calibri" w:cs="Calibri"/>
                <w:sz w:val="24"/>
                <w:szCs w:val="24"/>
              </w:rPr>
              <w:t>Dodatkowo Ministerstwo Rozwoju i Technologii zgłasza uwagę do art. 3 ust. 2 projektu, zgodnie z którym, na przedsiębiorcę telekomunikacyjnego nakłada się obowiązek podejmowania proporcjonalnych działań mających na celu zapobieganie nadużyciom w komunikacji elektronicznej i ich zwalczanie. MRiT z pełną aprobatą odnosi się do celu jaki ma realizować ten przepis. Niemniej zaproponowane brzmienie, może budzić wątpliwości. W opinii DDR, regulacja nakłada obowiązek na przedsiębiorców w zbyt ogólny sposób. Wśród adresatów mogą powstać wątpliwości, jakiego konkretnie działania wymaga się od nich w przypadku wystąpienia zjawisk nadużyć w komunikacji elektronicznej. Konsekwentnie może także powstać problem z wyegzekwowaniem tych obowiązków oraz nieuzasadnione poszerzenie zakresu działań czy kompetencji organu stosującego prawo.</w:t>
            </w:r>
          </w:p>
          <w:p w14:paraId="2A55AD8D" w14:textId="61CADE1B" w:rsidR="00052629" w:rsidRPr="00C2523C" w:rsidRDefault="00052629">
            <w:pPr>
              <w:autoSpaceDE w:val="0"/>
              <w:autoSpaceDN w:val="0"/>
              <w:adjustRightInd w:val="0"/>
              <w:rPr>
                <w:rFonts w:cstheme="minorHAnsi"/>
                <w:sz w:val="24"/>
                <w:szCs w:val="24"/>
              </w:rPr>
            </w:pPr>
            <w:r w:rsidRPr="00C2523C">
              <w:rPr>
                <w:rFonts w:ascii="Calibri" w:hAnsi="Calibri" w:cs="Calibri"/>
                <w:sz w:val="24"/>
                <w:szCs w:val="24"/>
              </w:rPr>
              <w:t>Mając powyższe na uwadze, MRiT poddaje pod rozwagę, sformułowanie przedmiotowego przepisu w sposób bardziej precyzyjny.</w:t>
            </w:r>
          </w:p>
        </w:tc>
        <w:tc>
          <w:tcPr>
            <w:tcW w:w="3509" w:type="dxa"/>
          </w:tcPr>
          <w:p w14:paraId="5DAB0149" w14:textId="77777777" w:rsidR="00D50203" w:rsidRPr="00C2523C" w:rsidRDefault="004676DD">
            <w:pPr>
              <w:rPr>
                <w:rFonts w:cstheme="minorHAnsi"/>
                <w:sz w:val="24"/>
                <w:szCs w:val="24"/>
              </w:rPr>
            </w:pPr>
            <w:r w:rsidRPr="00C2523C">
              <w:rPr>
                <w:rFonts w:cstheme="minorHAnsi"/>
                <w:b/>
                <w:sz w:val="24"/>
                <w:szCs w:val="24"/>
              </w:rPr>
              <w:t>Uwaga wyjaśniona</w:t>
            </w:r>
            <w:r w:rsidRPr="00C2523C">
              <w:rPr>
                <w:rFonts w:cstheme="minorHAnsi"/>
                <w:b/>
                <w:sz w:val="24"/>
                <w:szCs w:val="24"/>
              </w:rPr>
              <w:br/>
            </w:r>
            <w:r w:rsidRPr="00C2523C">
              <w:rPr>
                <w:rFonts w:cstheme="minorHAnsi"/>
                <w:sz w:val="24"/>
                <w:szCs w:val="24"/>
              </w:rPr>
              <w:t xml:space="preserve">Adresatem obowiązku z art. 3 ust. 2 projektu jak przesądza wprost przepis jest „przedsiębiorca telekomunikacyjny”. </w:t>
            </w:r>
          </w:p>
          <w:p w14:paraId="33EFC1DB" w14:textId="32047155" w:rsidR="00052629" w:rsidRPr="00C2523C" w:rsidRDefault="004676DD" w:rsidP="000E3009">
            <w:pPr>
              <w:rPr>
                <w:rFonts w:cstheme="minorHAnsi"/>
                <w:b/>
                <w:sz w:val="24"/>
                <w:szCs w:val="24"/>
              </w:rPr>
            </w:pPr>
            <w:r w:rsidRPr="00C2523C">
              <w:rPr>
                <w:rFonts w:cstheme="minorHAnsi"/>
                <w:sz w:val="24"/>
                <w:szCs w:val="24"/>
              </w:rPr>
              <w:t xml:space="preserve">Nadużycia w komunikacji elektronicznej mają różny i często skomplikowany charakter, a co za tym idzie przeciwdziałanie i zwalczanie ich wymaga podejmowania różnych (odmiennych) środków technicznych i organizacyjnych. Ww. jednostka redakcyjna zawiera ogólny obowiązek, dlatego mając na względzie jego charakter, niesprostanie temu </w:t>
            </w:r>
            <w:r w:rsidRPr="00C2523C">
              <w:rPr>
                <w:rFonts w:cstheme="minorHAnsi"/>
                <w:sz w:val="24"/>
                <w:szCs w:val="24"/>
              </w:rPr>
              <w:lastRenderedPageBreak/>
              <w:t xml:space="preserve">obowiązkowi – o ile nie jest związane z innymi, bardziej szczegółowymi obowiązkami – nie wiąże się z jakąkolwiek sankcją. Natomiast taka redakcja przepisu pozwala podkreślić, że projektodawca (a w przyszłości ustawodawca), nie tylko ma świadomość zjawiska i problemów wynikających z nadużyć telekomunikacyjnych, ale również uświadamia przedsiębiorców, że muszą te okoliczności uwzględnić prowadząc działalność </w:t>
            </w:r>
            <w:r w:rsidR="00934144" w:rsidRPr="00C2523C">
              <w:rPr>
                <w:rFonts w:cstheme="minorHAnsi"/>
                <w:sz w:val="24"/>
                <w:szCs w:val="24"/>
              </w:rPr>
              <w:t>w telekomunikacji, komunikacji elektronicznej.</w:t>
            </w:r>
          </w:p>
        </w:tc>
      </w:tr>
      <w:tr w:rsidR="00C2523C" w:rsidRPr="00C2523C" w14:paraId="0687A97B" w14:textId="77777777" w:rsidTr="002F0E46">
        <w:tc>
          <w:tcPr>
            <w:tcW w:w="762" w:type="dxa"/>
            <w:gridSpan w:val="2"/>
          </w:tcPr>
          <w:p w14:paraId="79069AC9"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66" w:type="dxa"/>
          </w:tcPr>
          <w:p w14:paraId="0D6CF9EC" w14:textId="29A81B00"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28BC919A" w14:textId="2622A532" w:rsidR="00FD3498" w:rsidRPr="00C2523C" w:rsidRDefault="00FD3498" w:rsidP="00277373">
            <w:pPr>
              <w:rPr>
                <w:rFonts w:cstheme="minorHAnsi"/>
                <w:sz w:val="24"/>
                <w:szCs w:val="24"/>
              </w:rPr>
            </w:pPr>
            <w:r w:rsidRPr="00C2523C">
              <w:rPr>
                <w:rFonts w:cstheme="minorHAnsi"/>
                <w:sz w:val="24"/>
                <w:szCs w:val="24"/>
              </w:rPr>
              <w:t>Art. 3 ust. 2</w:t>
            </w:r>
          </w:p>
        </w:tc>
        <w:tc>
          <w:tcPr>
            <w:tcW w:w="7229" w:type="dxa"/>
          </w:tcPr>
          <w:p w14:paraId="21D8506D" w14:textId="3CAF1FE4" w:rsidR="00FD3498" w:rsidRPr="00C2523C" w:rsidRDefault="00FD3498" w:rsidP="00DE552E">
            <w:pPr>
              <w:autoSpaceDE w:val="0"/>
              <w:autoSpaceDN w:val="0"/>
              <w:adjustRightInd w:val="0"/>
              <w:rPr>
                <w:rFonts w:ascii="Calibri" w:hAnsi="Calibri" w:cs="Calibri"/>
                <w:sz w:val="24"/>
                <w:szCs w:val="24"/>
              </w:rPr>
            </w:pPr>
            <w:r w:rsidRPr="00C2523C">
              <w:rPr>
                <w:rFonts w:cstheme="minorHAnsi"/>
                <w:sz w:val="24"/>
                <w:szCs w:val="24"/>
              </w:rPr>
              <w:t>W projektowanym art. 3 ust. 2 zawarto regulację, zgodnie z którą przedsiębiorca</w:t>
            </w:r>
            <w:r w:rsidR="00AB6C72" w:rsidRPr="00C2523C">
              <w:rPr>
                <w:rFonts w:cstheme="minorHAnsi"/>
                <w:sz w:val="24"/>
                <w:szCs w:val="24"/>
              </w:rPr>
              <w:t xml:space="preserve"> </w:t>
            </w:r>
            <w:r w:rsidRPr="00C2523C">
              <w:rPr>
                <w:rFonts w:cstheme="minorHAnsi"/>
                <w:sz w:val="24"/>
                <w:szCs w:val="24"/>
              </w:rPr>
              <w:t>telekomunikacyjny będzie obowiązany do podejmowania proporcjonalnych środków</w:t>
            </w:r>
            <w:r w:rsidR="00AB6C72" w:rsidRPr="00C2523C">
              <w:rPr>
                <w:rFonts w:cstheme="minorHAnsi"/>
                <w:sz w:val="24"/>
                <w:szCs w:val="24"/>
              </w:rPr>
              <w:t xml:space="preserve"> </w:t>
            </w:r>
            <w:r w:rsidRPr="00C2523C">
              <w:rPr>
                <w:rFonts w:cstheme="minorHAnsi"/>
                <w:sz w:val="24"/>
                <w:szCs w:val="24"/>
              </w:rPr>
              <w:t>technicznych i organizacyjnych mających na celu zapobieganie nadużyciom w komunikacji</w:t>
            </w:r>
            <w:r w:rsidR="00AB6C72" w:rsidRPr="00C2523C">
              <w:rPr>
                <w:rFonts w:cstheme="minorHAnsi"/>
                <w:sz w:val="24"/>
                <w:szCs w:val="24"/>
              </w:rPr>
              <w:t xml:space="preserve"> </w:t>
            </w:r>
            <w:r w:rsidRPr="00C2523C">
              <w:rPr>
                <w:rFonts w:cstheme="minorHAnsi"/>
                <w:sz w:val="24"/>
                <w:szCs w:val="24"/>
              </w:rPr>
              <w:t>elektronicznej i ich zwalczanie. Kolejne przepisy projektu ustawy nie zawierają jednak</w:t>
            </w:r>
            <w:r w:rsidR="00AB6C72" w:rsidRPr="00C2523C">
              <w:rPr>
                <w:rFonts w:cstheme="minorHAnsi"/>
                <w:sz w:val="24"/>
                <w:szCs w:val="24"/>
              </w:rPr>
              <w:t xml:space="preserve"> </w:t>
            </w:r>
            <w:r w:rsidRPr="00C2523C">
              <w:rPr>
                <w:rFonts w:cstheme="minorHAnsi"/>
                <w:sz w:val="24"/>
                <w:szCs w:val="24"/>
              </w:rPr>
              <w:t>regulacji, umożliwiających wykładnię przywołanego zwrotu, co może potem rodzić wątpliwości</w:t>
            </w:r>
            <w:r w:rsidR="00AB6C72" w:rsidRPr="00C2523C">
              <w:rPr>
                <w:rFonts w:cstheme="minorHAnsi"/>
                <w:sz w:val="24"/>
                <w:szCs w:val="24"/>
              </w:rPr>
              <w:t xml:space="preserve"> </w:t>
            </w:r>
            <w:r w:rsidRPr="00C2523C">
              <w:rPr>
                <w:rFonts w:cstheme="minorHAnsi"/>
                <w:sz w:val="24"/>
                <w:szCs w:val="24"/>
              </w:rPr>
              <w:t>interpretacyjne. Uzasadnienie do projektu ustawy również nie zawiera wyjaśnienia tej kwestii.</w:t>
            </w:r>
            <w:r w:rsidR="00D50203" w:rsidRPr="00C2523C">
              <w:rPr>
                <w:rFonts w:cstheme="minorHAnsi"/>
                <w:sz w:val="24"/>
                <w:szCs w:val="24"/>
              </w:rPr>
              <w:t xml:space="preserve"> </w:t>
            </w:r>
            <w:r w:rsidRPr="00C2523C">
              <w:rPr>
                <w:rFonts w:cstheme="minorHAnsi"/>
                <w:sz w:val="24"/>
                <w:szCs w:val="24"/>
              </w:rPr>
              <w:t>Należy również wskazać na brak regulacji w zakresie procedur odwoławczych</w:t>
            </w:r>
            <w:r w:rsidR="00AB6C72" w:rsidRPr="00C2523C">
              <w:rPr>
                <w:rFonts w:cstheme="minorHAnsi"/>
                <w:sz w:val="24"/>
                <w:szCs w:val="24"/>
              </w:rPr>
              <w:t xml:space="preserve"> </w:t>
            </w:r>
            <w:r w:rsidRPr="00C2523C">
              <w:rPr>
                <w:rFonts w:cstheme="minorHAnsi"/>
                <w:sz w:val="24"/>
                <w:szCs w:val="24"/>
              </w:rPr>
              <w:t>w przypadku zastosowania tego rodzaju środków przez przedsiębiorcę telekomunikacyjnego.</w:t>
            </w:r>
          </w:p>
        </w:tc>
        <w:tc>
          <w:tcPr>
            <w:tcW w:w="3509" w:type="dxa"/>
          </w:tcPr>
          <w:p w14:paraId="634E508F" w14:textId="076E18EA" w:rsidR="00AB6C72" w:rsidRPr="00C2523C" w:rsidRDefault="000C710E" w:rsidP="00AB6C72">
            <w:pPr>
              <w:rPr>
                <w:rFonts w:cstheme="minorHAnsi"/>
                <w:b/>
                <w:sz w:val="24"/>
                <w:szCs w:val="24"/>
              </w:rPr>
            </w:pPr>
            <w:r w:rsidRPr="00C2523C">
              <w:rPr>
                <w:rFonts w:cstheme="minorHAnsi"/>
                <w:b/>
                <w:sz w:val="24"/>
                <w:szCs w:val="24"/>
              </w:rPr>
              <w:t>Uwaga w</w:t>
            </w:r>
            <w:r w:rsidR="00AB6C72" w:rsidRPr="00C2523C">
              <w:rPr>
                <w:rFonts w:cstheme="minorHAnsi"/>
                <w:b/>
                <w:sz w:val="24"/>
                <w:szCs w:val="24"/>
              </w:rPr>
              <w:t>yjaśni</w:t>
            </w:r>
            <w:r w:rsidRPr="00C2523C">
              <w:rPr>
                <w:rFonts w:cstheme="minorHAnsi"/>
                <w:b/>
                <w:sz w:val="24"/>
                <w:szCs w:val="24"/>
              </w:rPr>
              <w:t>ona</w:t>
            </w:r>
          </w:p>
          <w:p w14:paraId="2B08AAA8" w14:textId="6F491440" w:rsidR="00FD3498" w:rsidRPr="00C2523C" w:rsidRDefault="00AB6C72">
            <w:pPr>
              <w:rPr>
                <w:rFonts w:cstheme="minorHAnsi"/>
                <w:sz w:val="24"/>
                <w:szCs w:val="24"/>
              </w:rPr>
            </w:pPr>
            <w:r w:rsidRPr="00C2523C">
              <w:rPr>
                <w:rFonts w:cstheme="minorHAnsi"/>
                <w:sz w:val="24"/>
                <w:szCs w:val="24"/>
              </w:rPr>
              <w:t xml:space="preserve">Środki mające na celu zapobieganie nadużyciom mają być proporcjonalne </w:t>
            </w:r>
            <w:r w:rsidR="00E834F2" w:rsidRPr="00C2523C">
              <w:rPr>
                <w:rFonts w:cstheme="minorHAnsi"/>
                <w:sz w:val="24"/>
                <w:szCs w:val="24"/>
              </w:rPr>
              <w:t xml:space="preserve">– </w:t>
            </w:r>
            <w:r w:rsidRPr="00C2523C">
              <w:rPr>
                <w:rFonts w:cstheme="minorHAnsi"/>
                <w:sz w:val="24"/>
                <w:szCs w:val="24"/>
              </w:rPr>
              <w:t xml:space="preserve"> </w:t>
            </w:r>
            <w:r w:rsidR="00E834F2" w:rsidRPr="00C2523C">
              <w:rPr>
                <w:rFonts w:cstheme="minorHAnsi"/>
                <w:sz w:val="24"/>
                <w:szCs w:val="24"/>
              </w:rPr>
              <w:t>uwzględniające możliwości podmiotu w zakresie podejmowania działań, a więc -</w:t>
            </w:r>
            <w:r w:rsidRPr="00C2523C">
              <w:rPr>
                <w:rFonts w:cstheme="minorHAnsi"/>
                <w:sz w:val="24"/>
                <w:szCs w:val="24"/>
              </w:rPr>
              <w:t>zależne od wielkości podmiotu, posiadanej infrastruktury</w:t>
            </w:r>
            <w:r w:rsidR="000C710E" w:rsidRPr="00C2523C">
              <w:rPr>
                <w:rFonts w:cstheme="minorHAnsi"/>
                <w:sz w:val="24"/>
                <w:szCs w:val="24"/>
              </w:rPr>
              <w:t>,</w:t>
            </w:r>
            <w:r w:rsidRPr="00C2523C">
              <w:rPr>
                <w:rFonts w:cstheme="minorHAnsi"/>
                <w:sz w:val="24"/>
                <w:szCs w:val="24"/>
              </w:rPr>
              <w:t xml:space="preserve"> czy charakteru świadczonych usług.</w:t>
            </w:r>
            <w:r w:rsidR="00BF72A3" w:rsidRPr="00C2523C">
              <w:rPr>
                <w:rFonts w:cstheme="minorHAnsi"/>
                <w:sz w:val="24"/>
                <w:szCs w:val="24"/>
              </w:rPr>
              <w:t xml:space="preserve"> </w:t>
            </w:r>
            <w:r w:rsidRPr="00C2523C">
              <w:rPr>
                <w:rFonts w:cstheme="minorHAnsi"/>
                <w:sz w:val="24"/>
                <w:szCs w:val="24"/>
              </w:rPr>
              <w:t xml:space="preserve">Przy określaniu proporcjonalnych środków można posiłkować się uznanymi międzynarodowymi </w:t>
            </w:r>
            <w:r w:rsidRPr="00C2523C">
              <w:rPr>
                <w:rFonts w:cstheme="minorHAnsi"/>
                <w:sz w:val="24"/>
                <w:szCs w:val="24"/>
              </w:rPr>
              <w:lastRenderedPageBreak/>
              <w:t>standardami w zakresie zarządzania ryzykiem, np. COSO II czy ISO 31000.</w:t>
            </w:r>
            <w:r w:rsidR="000C710E" w:rsidRPr="00C2523C">
              <w:rPr>
                <w:rFonts w:cstheme="minorHAnsi"/>
                <w:sz w:val="24"/>
                <w:szCs w:val="24"/>
              </w:rPr>
              <w:t xml:space="preserve"> W tym zakresie uzasadnienie zosta</w:t>
            </w:r>
            <w:r w:rsidR="00D50203" w:rsidRPr="00C2523C">
              <w:rPr>
                <w:rFonts w:cstheme="minorHAnsi"/>
                <w:sz w:val="24"/>
                <w:szCs w:val="24"/>
              </w:rPr>
              <w:t xml:space="preserve">ło </w:t>
            </w:r>
            <w:r w:rsidR="000C710E" w:rsidRPr="00C2523C">
              <w:rPr>
                <w:rFonts w:cstheme="minorHAnsi"/>
                <w:sz w:val="24"/>
                <w:szCs w:val="24"/>
              </w:rPr>
              <w:t xml:space="preserve">uzupełnione. </w:t>
            </w:r>
          </w:p>
        </w:tc>
      </w:tr>
      <w:tr w:rsidR="00C2523C" w:rsidRPr="00C2523C" w14:paraId="42DD6ACB" w14:textId="77777777" w:rsidTr="002F0E46">
        <w:tc>
          <w:tcPr>
            <w:tcW w:w="762" w:type="dxa"/>
            <w:gridSpan w:val="2"/>
          </w:tcPr>
          <w:p w14:paraId="5D175DBE" w14:textId="067C6E54"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647419C3" w14:textId="781F2993"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550D4294" w14:textId="1D6A529D" w:rsidR="00BF24F1" w:rsidRPr="00C2523C" w:rsidRDefault="00BF24F1" w:rsidP="00277373">
            <w:pPr>
              <w:rPr>
                <w:rFonts w:cstheme="minorHAnsi"/>
                <w:sz w:val="24"/>
                <w:szCs w:val="24"/>
              </w:rPr>
            </w:pPr>
            <w:r w:rsidRPr="00C2523C">
              <w:rPr>
                <w:rFonts w:cstheme="minorHAnsi"/>
                <w:sz w:val="24"/>
                <w:szCs w:val="24"/>
              </w:rPr>
              <w:t>Art. 3 ust. 2</w:t>
            </w:r>
          </w:p>
        </w:tc>
        <w:tc>
          <w:tcPr>
            <w:tcW w:w="7229" w:type="dxa"/>
          </w:tcPr>
          <w:p w14:paraId="78C00174" w14:textId="32C85591" w:rsidR="00BF24F1" w:rsidRPr="00C2523C" w:rsidRDefault="00BF24F1" w:rsidP="00225989">
            <w:pPr>
              <w:autoSpaceDE w:val="0"/>
              <w:autoSpaceDN w:val="0"/>
              <w:adjustRightInd w:val="0"/>
              <w:rPr>
                <w:rFonts w:cstheme="minorHAnsi"/>
                <w:sz w:val="24"/>
                <w:szCs w:val="24"/>
              </w:rPr>
            </w:pPr>
            <w:r w:rsidRPr="00C2523C">
              <w:rPr>
                <w:rFonts w:cstheme="minorHAnsi"/>
                <w:sz w:val="24"/>
                <w:szCs w:val="24"/>
              </w:rPr>
              <w:t>odnośnie do art. 3 ust. 2 projektu, wyjaśnienia wymaga, czy do podejmowania</w:t>
            </w:r>
            <w:r w:rsidR="00FB3B85" w:rsidRPr="00C2523C">
              <w:rPr>
                <w:rFonts w:cstheme="minorHAnsi"/>
                <w:sz w:val="24"/>
                <w:szCs w:val="24"/>
              </w:rPr>
              <w:t xml:space="preserve"> </w:t>
            </w:r>
            <w:r w:rsidRPr="00C2523C">
              <w:rPr>
                <w:rFonts w:cstheme="minorHAnsi"/>
                <w:sz w:val="24"/>
                <w:szCs w:val="24"/>
              </w:rPr>
              <w:t>proporcjonalnych środków technicznych i organizacyjnych mających na celu zapobieganie</w:t>
            </w:r>
            <w:r w:rsidR="00FB3B85" w:rsidRPr="00C2523C">
              <w:rPr>
                <w:rFonts w:cstheme="minorHAnsi"/>
                <w:sz w:val="24"/>
                <w:szCs w:val="24"/>
              </w:rPr>
              <w:t xml:space="preserve"> </w:t>
            </w:r>
            <w:r w:rsidRPr="00C2523C">
              <w:rPr>
                <w:rFonts w:cstheme="minorHAnsi"/>
                <w:sz w:val="24"/>
                <w:szCs w:val="24"/>
              </w:rPr>
              <w:t>nadużyciom w komunikacji elektronicznej i ich zwalczanie obowiązany jest także dostawca</w:t>
            </w:r>
            <w:r w:rsidR="00FB3B85" w:rsidRPr="00C2523C">
              <w:rPr>
                <w:rFonts w:cstheme="minorHAnsi"/>
                <w:sz w:val="24"/>
                <w:szCs w:val="24"/>
              </w:rPr>
              <w:t xml:space="preserve"> </w:t>
            </w:r>
            <w:r w:rsidRPr="00C2523C">
              <w:rPr>
                <w:rFonts w:cstheme="minorHAnsi"/>
                <w:sz w:val="24"/>
                <w:szCs w:val="24"/>
              </w:rPr>
              <w:t>poczty elektronicznej oraz podmiot publiczny (o którym mowa w art. 2 pkt 6 projektu), na</w:t>
            </w:r>
            <w:r w:rsidR="00FB3B85" w:rsidRPr="00C2523C">
              <w:rPr>
                <w:rFonts w:cstheme="minorHAnsi"/>
                <w:sz w:val="24"/>
                <w:szCs w:val="24"/>
              </w:rPr>
              <w:t xml:space="preserve"> </w:t>
            </w:r>
            <w:r w:rsidRPr="00C2523C">
              <w:rPr>
                <w:rFonts w:cstheme="minorHAnsi"/>
                <w:sz w:val="24"/>
                <w:szCs w:val="24"/>
              </w:rPr>
              <w:t>których projekt ustawy także nakłada obowiązki związane z zapobieganiem nadużyciom</w:t>
            </w:r>
            <w:r w:rsidR="00FB3B85" w:rsidRPr="00C2523C">
              <w:rPr>
                <w:rFonts w:cstheme="minorHAnsi"/>
                <w:sz w:val="24"/>
                <w:szCs w:val="24"/>
              </w:rPr>
              <w:t xml:space="preserve"> </w:t>
            </w:r>
            <w:r w:rsidRPr="00C2523C">
              <w:rPr>
                <w:rFonts w:cstheme="minorHAnsi"/>
                <w:sz w:val="24"/>
                <w:szCs w:val="24"/>
              </w:rPr>
              <w:t>w komunikacji elektronicznej. Ponadto wskazać należy, że przepis ust. 2 ma charakter</w:t>
            </w:r>
            <w:r w:rsidR="00FB3B85" w:rsidRPr="00C2523C">
              <w:rPr>
                <w:rFonts w:cstheme="minorHAnsi"/>
                <w:sz w:val="24"/>
                <w:szCs w:val="24"/>
              </w:rPr>
              <w:t xml:space="preserve"> n</w:t>
            </w:r>
            <w:r w:rsidRPr="00C2523C">
              <w:rPr>
                <w:rFonts w:cstheme="minorHAnsi"/>
                <w:sz w:val="24"/>
                <w:szCs w:val="24"/>
              </w:rPr>
              <w:t>iedookreślony i wymaga uzupełnienia o wskazanie punktu odniesienia do ustalenia</w:t>
            </w:r>
            <w:r w:rsidR="00FB3B85" w:rsidRPr="00C2523C">
              <w:rPr>
                <w:rFonts w:cstheme="minorHAnsi"/>
                <w:sz w:val="24"/>
                <w:szCs w:val="24"/>
              </w:rPr>
              <w:t xml:space="preserve"> </w:t>
            </w:r>
            <w:r w:rsidRPr="00C2523C">
              <w:rPr>
                <w:rFonts w:cstheme="minorHAnsi"/>
                <w:sz w:val="24"/>
                <w:szCs w:val="24"/>
              </w:rPr>
              <w:t>„proporcjonalnych” środków technicznych i organizacyjnych – jak np. wielkość</w:t>
            </w:r>
            <w:r w:rsidR="00FB3B85" w:rsidRPr="00C2523C">
              <w:rPr>
                <w:rFonts w:cstheme="minorHAnsi"/>
                <w:sz w:val="24"/>
                <w:szCs w:val="24"/>
              </w:rPr>
              <w:t xml:space="preserve"> </w:t>
            </w:r>
            <w:r w:rsidRPr="00C2523C">
              <w:rPr>
                <w:rFonts w:cstheme="minorHAnsi"/>
                <w:sz w:val="24"/>
                <w:szCs w:val="24"/>
              </w:rPr>
              <w:t>przedsiębiorcy, obrót, cel, wysokość przychodów w danym roku kalendarzowym. Zwrócić</w:t>
            </w:r>
            <w:r w:rsidR="00FB3B85" w:rsidRPr="00C2523C">
              <w:rPr>
                <w:rFonts w:cstheme="minorHAnsi"/>
                <w:sz w:val="24"/>
                <w:szCs w:val="24"/>
              </w:rPr>
              <w:t xml:space="preserve"> </w:t>
            </w:r>
            <w:r w:rsidRPr="00C2523C">
              <w:rPr>
                <w:rFonts w:cstheme="minorHAnsi"/>
                <w:sz w:val="24"/>
                <w:szCs w:val="24"/>
              </w:rPr>
              <w:t>także należy uwagę na konieczność ustalenia chociażby minimalnego poziomu środków</w:t>
            </w:r>
            <w:r w:rsidR="00FB3B85" w:rsidRPr="00C2523C">
              <w:rPr>
                <w:rFonts w:cstheme="minorHAnsi"/>
                <w:sz w:val="24"/>
                <w:szCs w:val="24"/>
              </w:rPr>
              <w:t xml:space="preserve"> </w:t>
            </w:r>
            <w:r w:rsidRPr="00C2523C">
              <w:rPr>
                <w:rFonts w:cstheme="minorHAnsi"/>
                <w:sz w:val="24"/>
                <w:szCs w:val="24"/>
              </w:rPr>
              <w:t>technicznych i organizacyjnych których stosowanie byłoby obowiązkiem przedsiębiorcy,</w:t>
            </w:r>
            <w:r w:rsidR="003E4E3B" w:rsidRPr="00C2523C">
              <w:rPr>
                <w:rFonts w:cstheme="minorHAnsi"/>
                <w:sz w:val="24"/>
                <w:szCs w:val="24"/>
              </w:rPr>
              <w:t xml:space="preserve"> </w:t>
            </w:r>
            <w:r w:rsidRPr="00C2523C">
              <w:rPr>
                <w:rFonts w:cstheme="minorHAnsi"/>
                <w:sz w:val="24"/>
                <w:szCs w:val="24"/>
              </w:rPr>
              <w:t>w przeciwnym wypadku mamy do czynienia z nałożeniem obowiązku o bliżej</w:t>
            </w:r>
            <w:r w:rsidR="00FB3B85" w:rsidRPr="00C2523C">
              <w:rPr>
                <w:rFonts w:cstheme="minorHAnsi"/>
                <w:sz w:val="24"/>
                <w:szCs w:val="24"/>
              </w:rPr>
              <w:t xml:space="preserve"> </w:t>
            </w:r>
            <w:r w:rsidRPr="00C2523C">
              <w:rPr>
                <w:rFonts w:cstheme="minorHAnsi"/>
                <w:sz w:val="24"/>
                <w:szCs w:val="24"/>
              </w:rPr>
              <w:t>niesprecyzowanym charakterze</w:t>
            </w:r>
            <w:r w:rsidR="002E51B4" w:rsidRPr="00C2523C">
              <w:rPr>
                <w:rFonts w:cstheme="minorHAnsi"/>
                <w:sz w:val="24"/>
                <w:szCs w:val="24"/>
              </w:rPr>
              <w:t>.</w:t>
            </w:r>
          </w:p>
        </w:tc>
        <w:tc>
          <w:tcPr>
            <w:tcW w:w="3509" w:type="dxa"/>
          </w:tcPr>
          <w:p w14:paraId="7904A93C" w14:textId="08564516" w:rsidR="00BF24F1" w:rsidRPr="00C2523C" w:rsidRDefault="003E4E3B" w:rsidP="007347AD">
            <w:pPr>
              <w:rPr>
                <w:rFonts w:cstheme="minorHAnsi"/>
                <w:b/>
                <w:sz w:val="24"/>
                <w:szCs w:val="24"/>
              </w:rPr>
            </w:pPr>
            <w:r w:rsidRPr="00C2523C">
              <w:rPr>
                <w:rFonts w:cstheme="minorHAnsi"/>
                <w:b/>
                <w:sz w:val="24"/>
                <w:szCs w:val="24"/>
              </w:rPr>
              <w:t>Uwaga wyjaśniona</w:t>
            </w:r>
            <w:r w:rsidRPr="00C2523C">
              <w:rPr>
                <w:rFonts w:cstheme="minorHAnsi"/>
                <w:b/>
                <w:sz w:val="24"/>
                <w:szCs w:val="24"/>
              </w:rPr>
              <w:br/>
            </w:r>
            <w:r w:rsidRPr="00C2523C">
              <w:rPr>
                <w:rFonts w:cstheme="minorHAnsi"/>
                <w:sz w:val="24"/>
                <w:szCs w:val="24"/>
              </w:rPr>
              <w:t xml:space="preserve">Adresatem obowiązku z art. 3 ust. 2 </w:t>
            </w:r>
            <w:r w:rsidR="00371A56" w:rsidRPr="00C2523C">
              <w:rPr>
                <w:rFonts w:cstheme="minorHAnsi"/>
                <w:sz w:val="24"/>
                <w:szCs w:val="24"/>
              </w:rPr>
              <w:t xml:space="preserve">projektu </w:t>
            </w:r>
            <w:r w:rsidRPr="00C2523C">
              <w:rPr>
                <w:rFonts w:cstheme="minorHAnsi"/>
                <w:sz w:val="24"/>
                <w:szCs w:val="24"/>
              </w:rPr>
              <w:t>jak przesądza wprost przepis jest „przedsiębiorca telekomunikacyjny”</w:t>
            </w:r>
            <w:r w:rsidR="00371A56" w:rsidRPr="00C2523C">
              <w:rPr>
                <w:rFonts w:cstheme="minorHAnsi"/>
                <w:sz w:val="24"/>
                <w:szCs w:val="24"/>
              </w:rPr>
              <w:t xml:space="preserve">. </w:t>
            </w:r>
            <w:r w:rsidR="00D50203" w:rsidRPr="00C2523C">
              <w:rPr>
                <w:rFonts w:cstheme="minorHAnsi"/>
                <w:sz w:val="24"/>
                <w:szCs w:val="24"/>
              </w:rPr>
              <w:br/>
            </w:r>
            <w:r w:rsidR="00371A56" w:rsidRPr="00C2523C">
              <w:rPr>
                <w:rFonts w:cstheme="minorHAnsi"/>
                <w:sz w:val="24"/>
                <w:szCs w:val="24"/>
              </w:rPr>
              <w:t xml:space="preserve">Nadużycia w komunikacji elektronicznej mają różny i często skomplikowany charakter, a co za tym idzie przeciwdziałanie i zwalczanie ich wymaga podejmowania różnych (odmiennych) </w:t>
            </w:r>
            <w:r w:rsidR="00371A56" w:rsidRPr="00C2523C">
              <w:rPr>
                <w:sz w:val="24"/>
                <w:szCs w:val="24"/>
              </w:rPr>
              <w:t xml:space="preserve">środków technicznych i organizacyjnych. Ww. jednostka redakcyjna zawiera ogólny obowiązek, dlatego mając na względzie jego charakter, niesprostanie temu obowiązkowi – o ile nie jest związane z innymi, </w:t>
            </w:r>
            <w:r w:rsidR="00F9657A" w:rsidRPr="00C2523C">
              <w:rPr>
                <w:sz w:val="24"/>
                <w:szCs w:val="24"/>
              </w:rPr>
              <w:t xml:space="preserve">bardziej </w:t>
            </w:r>
            <w:r w:rsidR="00371A56" w:rsidRPr="00C2523C">
              <w:rPr>
                <w:sz w:val="24"/>
                <w:szCs w:val="24"/>
              </w:rPr>
              <w:t>szczegó</w:t>
            </w:r>
            <w:r w:rsidR="00F9657A" w:rsidRPr="00C2523C">
              <w:rPr>
                <w:sz w:val="24"/>
                <w:szCs w:val="24"/>
              </w:rPr>
              <w:t>łowymi</w:t>
            </w:r>
            <w:r w:rsidR="00371A56" w:rsidRPr="00C2523C">
              <w:rPr>
                <w:sz w:val="24"/>
                <w:szCs w:val="24"/>
              </w:rPr>
              <w:t xml:space="preserve"> </w:t>
            </w:r>
            <w:r w:rsidR="00F9657A" w:rsidRPr="00C2523C">
              <w:rPr>
                <w:sz w:val="24"/>
                <w:szCs w:val="24"/>
              </w:rPr>
              <w:t>obowiązkami</w:t>
            </w:r>
            <w:r w:rsidR="00371A56" w:rsidRPr="00C2523C">
              <w:rPr>
                <w:sz w:val="24"/>
                <w:szCs w:val="24"/>
              </w:rPr>
              <w:t xml:space="preserve"> – nie wiąże się z jakąkolwiek sankcją. Natomiast taka redakcja przepisu pozwala podkreślić, że projektodawca (a w przyszłości </w:t>
            </w:r>
            <w:r w:rsidR="00371A56" w:rsidRPr="00C2523C">
              <w:rPr>
                <w:sz w:val="24"/>
                <w:szCs w:val="24"/>
              </w:rPr>
              <w:lastRenderedPageBreak/>
              <w:t xml:space="preserve">ustawodawca), nie tylko ma świadomość zjawiska i problemów wynikających z nadużyć telekomunikacyjnych, ale również </w:t>
            </w:r>
            <w:r w:rsidR="00F9657A" w:rsidRPr="00C2523C">
              <w:rPr>
                <w:sz w:val="24"/>
                <w:szCs w:val="24"/>
              </w:rPr>
              <w:t>uświadamia</w:t>
            </w:r>
            <w:r w:rsidR="00371A56" w:rsidRPr="00C2523C">
              <w:rPr>
                <w:sz w:val="24"/>
                <w:szCs w:val="24"/>
              </w:rPr>
              <w:t xml:space="preserve"> przedsię</w:t>
            </w:r>
            <w:r w:rsidR="00F9657A" w:rsidRPr="00C2523C">
              <w:rPr>
                <w:sz w:val="24"/>
                <w:szCs w:val="24"/>
              </w:rPr>
              <w:t xml:space="preserve">biorców, że </w:t>
            </w:r>
            <w:r w:rsidR="00371A56" w:rsidRPr="00C2523C">
              <w:rPr>
                <w:sz w:val="24"/>
                <w:szCs w:val="24"/>
              </w:rPr>
              <w:t>muszą</w:t>
            </w:r>
            <w:r w:rsidR="00F9657A" w:rsidRPr="00C2523C">
              <w:rPr>
                <w:sz w:val="24"/>
                <w:szCs w:val="24"/>
              </w:rPr>
              <w:t xml:space="preserve"> te okoliczności</w:t>
            </w:r>
            <w:r w:rsidR="00371A56" w:rsidRPr="00C2523C">
              <w:rPr>
                <w:sz w:val="24"/>
                <w:szCs w:val="24"/>
              </w:rPr>
              <w:t xml:space="preserve"> uwzględnić prowadząc działalność telekomunikacyjną. </w:t>
            </w:r>
            <w:r w:rsidR="00F9657A" w:rsidRPr="00C2523C">
              <w:rPr>
                <w:sz w:val="24"/>
                <w:szCs w:val="24"/>
              </w:rPr>
              <w:br/>
              <w:t>W zakresie punktu odniesienia uzupełnione zosta</w:t>
            </w:r>
            <w:r w:rsidR="00F70F25" w:rsidRPr="00C2523C">
              <w:rPr>
                <w:sz w:val="24"/>
                <w:szCs w:val="24"/>
              </w:rPr>
              <w:t>ło</w:t>
            </w:r>
            <w:r w:rsidR="00F9657A" w:rsidRPr="00C2523C">
              <w:rPr>
                <w:sz w:val="24"/>
                <w:szCs w:val="24"/>
              </w:rPr>
              <w:t xml:space="preserve"> uzasadnienie ustawy.</w:t>
            </w:r>
          </w:p>
        </w:tc>
      </w:tr>
      <w:tr w:rsidR="00C2523C" w:rsidRPr="00C2523C" w14:paraId="0A2D6D82" w14:textId="77777777" w:rsidTr="002F0E46">
        <w:tc>
          <w:tcPr>
            <w:tcW w:w="762" w:type="dxa"/>
            <w:gridSpan w:val="2"/>
          </w:tcPr>
          <w:p w14:paraId="5A08DB17" w14:textId="77777777" w:rsidR="00225989" w:rsidRPr="00C2523C" w:rsidRDefault="00225989"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20C9E324" w14:textId="0B4207BB" w:rsidR="00225989" w:rsidRPr="00C2523C" w:rsidRDefault="00225989" w:rsidP="00277373">
            <w:pPr>
              <w:rPr>
                <w:rFonts w:cstheme="minorHAnsi"/>
                <w:sz w:val="24"/>
                <w:szCs w:val="24"/>
              </w:rPr>
            </w:pPr>
            <w:r w:rsidRPr="00C2523C">
              <w:rPr>
                <w:rFonts w:cstheme="minorHAnsi"/>
                <w:sz w:val="24"/>
                <w:szCs w:val="24"/>
              </w:rPr>
              <w:t>MKSS</w:t>
            </w:r>
          </w:p>
        </w:tc>
        <w:tc>
          <w:tcPr>
            <w:tcW w:w="1328" w:type="dxa"/>
          </w:tcPr>
          <w:p w14:paraId="7C1B9120" w14:textId="525ED419" w:rsidR="00225989" w:rsidRPr="00C2523C" w:rsidRDefault="00225989" w:rsidP="00277373">
            <w:pPr>
              <w:rPr>
                <w:rFonts w:cstheme="minorHAnsi"/>
                <w:sz w:val="24"/>
                <w:szCs w:val="24"/>
              </w:rPr>
            </w:pPr>
            <w:r w:rsidRPr="00C2523C">
              <w:rPr>
                <w:rFonts w:cstheme="minorHAnsi"/>
                <w:sz w:val="24"/>
                <w:szCs w:val="24"/>
              </w:rPr>
              <w:t xml:space="preserve">Art. 3 ust. 2 </w:t>
            </w:r>
          </w:p>
        </w:tc>
        <w:tc>
          <w:tcPr>
            <w:tcW w:w="7229" w:type="dxa"/>
          </w:tcPr>
          <w:p w14:paraId="1AFBA8B0" w14:textId="472A77DA" w:rsidR="00225989" w:rsidRPr="00C2523C" w:rsidRDefault="00225989" w:rsidP="00225989">
            <w:pPr>
              <w:autoSpaceDE w:val="0"/>
              <w:autoSpaceDN w:val="0"/>
              <w:adjustRightInd w:val="0"/>
              <w:rPr>
                <w:rFonts w:cstheme="minorHAnsi"/>
                <w:sz w:val="24"/>
                <w:szCs w:val="24"/>
              </w:rPr>
            </w:pPr>
            <w:r w:rsidRPr="00C2523C">
              <w:rPr>
                <w:rFonts w:cstheme="minorHAnsi"/>
                <w:sz w:val="24"/>
                <w:szCs w:val="24"/>
                <w:lang w:bidi="pl-PL"/>
              </w:rPr>
              <w:t>Pragnę zwrócić uwagę na art. 3 ust. 2 projektu, w myśl którego p</w:t>
            </w:r>
            <w:r w:rsidRPr="00C2523C">
              <w:rPr>
                <w:rFonts w:cstheme="minorHAnsi"/>
                <w:sz w:val="24"/>
                <w:szCs w:val="24"/>
              </w:rPr>
              <w:t>rzedsiębiorca telekomunikacyjny jest obowiązany do podejmowania proporcjonalnych środków technicznych i organizacyjnych mających na celu zapobieganie nadużyciom w komunikacji elektronicznej i ich zwalczanie. Norma wyrażona tym przepisem została sformułowana w sposób nieprecyzyjny i ocenny.</w:t>
            </w:r>
            <w:r w:rsidR="00BF72A3" w:rsidRPr="00C2523C">
              <w:rPr>
                <w:rFonts w:cstheme="minorHAnsi"/>
                <w:sz w:val="24"/>
                <w:szCs w:val="24"/>
              </w:rPr>
              <w:t xml:space="preserve"> </w:t>
            </w:r>
            <w:r w:rsidRPr="00C2523C">
              <w:rPr>
                <w:rFonts w:cstheme="minorHAnsi"/>
                <w:sz w:val="24"/>
                <w:szCs w:val="24"/>
              </w:rPr>
              <w:t>Nakłada ona obowiązki na przedsiębiorcę telekomunikacyjnego, ale jednocześnie nie można jednoznacznie stwierdzić jakie działania stanowią wypełnienie ww. normy. W związku z tym wydaje się, iż przepis ten powinien zostać usunięty albo doprecyzowany.</w:t>
            </w:r>
          </w:p>
          <w:p w14:paraId="489B698B" w14:textId="77777777" w:rsidR="00225989" w:rsidRPr="00C2523C" w:rsidRDefault="00225989" w:rsidP="00225989">
            <w:pPr>
              <w:autoSpaceDE w:val="0"/>
              <w:autoSpaceDN w:val="0"/>
              <w:adjustRightInd w:val="0"/>
              <w:rPr>
                <w:rFonts w:cstheme="minorHAnsi"/>
                <w:sz w:val="24"/>
                <w:szCs w:val="24"/>
              </w:rPr>
            </w:pPr>
          </w:p>
        </w:tc>
        <w:tc>
          <w:tcPr>
            <w:tcW w:w="3509" w:type="dxa"/>
          </w:tcPr>
          <w:p w14:paraId="1AA893CE" w14:textId="74011AB8" w:rsidR="00225989" w:rsidRPr="00C2523C" w:rsidRDefault="006B3814">
            <w:pPr>
              <w:rPr>
                <w:rFonts w:cstheme="minorHAnsi"/>
                <w:b/>
                <w:sz w:val="24"/>
                <w:szCs w:val="24"/>
              </w:rPr>
            </w:pPr>
            <w:r w:rsidRPr="00C2523C">
              <w:rPr>
                <w:rFonts w:cstheme="minorHAnsi"/>
                <w:b/>
                <w:sz w:val="24"/>
                <w:szCs w:val="24"/>
              </w:rPr>
              <w:t>Uwaga wyjaśniona</w:t>
            </w:r>
          </w:p>
          <w:p w14:paraId="0D2CC926" w14:textId="493801DF" w:rsidR="00225989" w:rsidRPr="00C2523C" w:rsidRDefault="00225989" w:rsidP="007347AD">
            <w:pPr>
              <w:rPr>
                <w:rFonts w:cstheme="minorHAnsi"/>
                <w:sz w:val="24"/>
                <w:szCs w:val="24"/>
              </w:rPr>
            </w:pPr>
            <w:r w:rsidRPr="00C2523C">
              <w:rPr>
                <w:rFonts w:cstheme="minorHAnsi"/>
                <w:sz w:val="24"/>
                <w:szCs w:val="24"/>
              </w:rPr>
              <w:t xml:space="preserve">Nadużycia w komunikacji elektronicznej mają różny i często skomplikowany charakter, a co za tym idzie przeciwdziałanie i zwalczanie ich wymaga podejmowania różnych (odmiennych) środków technicznych i organizacyjnych. Ww. jednostka redakcyjna zawiera ogólny obowiązek, dlatego mając na względzie jego charakter, niesprostanie temu obowiązkowi – o ile nie jest związane z innymi, bardziej szczegółowymi obowiązkami – nie wiąże się z jakąkolwiek sankcją. Natomiast taka redakcja </w:t>
            </w:r>
            <w:r w:rsidRPr="00C2523C">
              <w:rPr>
                <w:rFonts w:cstheme="minorHAnsi"/>
                <w:sz w:val="24"/>
                <w:szCs w:val="24"/>
              </w:rPr>
              <w:lastRenderedPageBreak/>
              <w:t>przepisu pozwala podkreślić, że projektodawca (a w przyszłości ustawodawca), nie tylko ma świadomość zjawiska i problemów wynikających z nadużyć telekomunikacyjnych, ale również uświadamia przedsiębiorców, że muszą te okoliczności uwzględnić prowadząc działalność w telekomunikacji, komunikacji elektronicznej.</w:t>
            </w:r>
          </w:p>
        </w:tc>
      </w:tr>
      <w:tr w:rsidR="00C2523C" w:rsidRPr="00C2523C" w14:paraId="6F75BFEF" w14:textId="77777777" w:rsidTr="002F0E46">
        <w:tc>
          <w:tcPr>
            <w:tcW w:w="762" w:type="dxa"/>
            <w:gridSpan w:val="2"/>
          </w:tcPr>
          <w:p w14:paraId="5A2323FE"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66" w:type="dxa"/>
          </w:tcPr>
          <w:p w14:paraId="1128ACCE" w14:textId="3D107788"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607A1308" w14:textId="147369F3" w:rsidR="00FD3498" w:rsidRPr="00C2523C" w:rsidRDefault="00FD3498" w:rsidP="00277373">
            <w:pPr>
              <w:rPr>
                <w:rFonts w:cstheme="minorHAnsi"/>
                <w:sz w:val="24"/>
                <w:szCs w:val="24"/>
              </w:rPr>
            </w:pPr>
            <w:r w:rsidRPr="00C2523C">
              <w:rPr>
                <w:rFonts w:cstheme="minorHAnsi"/>
                <w:sz w:val="24"/>
                <w:szCs w:val="24"/>
              </w:rPr>
              <w:t>Art. 4 ust. 1</w:t>
            </w:r>
          </w:p>
        </w:tc>
        <w:tc>
          <w:tcPr>
            <w:tcW w:w="7229" w:type="dxa"/>
          </w:tcPr>
          <w:p w14:paraId="3FCEFF45" w14:textId="718150FD" w:rsidR="00FD3498" w:rsidRPr="00C2523C" w:rsidRDefault="00FD3498" w:rsidP="00DE552E">
            <w:pPr>
              <w:autoSpaceDE w:val="0"/>
              <w:autoSpaceDN w:val="0"/>
              <w:adjustRightInd w:val="0"/>
              <w:rPr>
                <w:rFonts w:cstheme="minorHAnsi"/>
                <w:sz w:val="24"/>
                <w:szCs w:val="24"/>
              </w:rPr>
            </w:pPr>
            <w:r w:rsidRPr="00C2523C">
              <w:rPr>
                <w:rFonts w:cstheme="minorHAnsi"/>
                <w:b/>
                <w:bCs/>
                <w:sz w:val="24"/>
                <w:szCs w:val="24"/>
              </w:rPr>
              <w:t xml:space="preserve">3. </w:t>
            </w:r>
            <w:r w:rsidRPr="00C2523C">
              <w:rPr>
                <w:rFonts w:cstheme="minorHAnsi"/>
                <w:sz w:val="24"/>
                <w:szCs w:val="24"/>
              </w:rPr>
              <w:t xml:space="preserve">Wątpliwy jest też przepis </w:t>
            </w:r>
            <w:r w:rsidRPr="00C2523C">
              <w:rPr>
                <w:rFonts w:cstheme="minorHAnsi"/>
                <w:b/>
                <w:bCs/>
                <w:sz w:val="24"/>
                <w:szCs w:val="24"/>
              </w:rPr>
              <w:t xml:space="preserve">art. 4 ust. 1 </w:t>
            </w:r>
            <w:r w:rsidRPr="00C2523C">
              <w:rPr>
                <w:rFonts w:cstheme="minorHAnsi"/>
                <w:sz w:val="24"/>
                <w:szCs w:val="24"/>
              </w:rPr>
              <w:t>projektu, zgodnie z którym Zespół Reagowania</w:t>
            </w:r>
            <w:r w:rsidR="00AB6C72" w:rsidRPr="00C2523C">
              <w:rPr>
                <w:rFonts w:cstheme="minorHAnsi"/>
                <w:sz w:val="24"/>
                <w:szCs w:val="24"/>
              </w:rPr>
              <w:t xml:space="preserve"> </w:t>
            </w:r>
            <w:r w:rsidRPr="00C2523C">
              <w:rPr>
                <w:rFonts w:cstheme="minorHAnsi"/>
                <w:sz w:val="24"/>
                <w:szCs w:val="24"/>
              </w:rPr>
              <w:t>na Incydenty Bezpieczeństwa Komputerowego (CSIRT NASK) na podstawie otrzymanych</w:t>
            </w:r>
            <w:r w:rsidR="00AB6C72" w:rsidRPr="00C2523C">
              <w:rPr>
                <w:rFonts w:cstheme="minorHAnsi"/>
                <w:sz w:val="24"/>
                <w:szCs w:val="24"/>
              </w:rPr>
              <w:t xml:space="preserve"> </w:t>
            </w:r>
            <w:r w:rsidRPr="00C2523C">
              <w:rPr>
                <w:rFonts w:cstheme="minorHAnsi"/>
                <w:sz w:val="24"/>
                <w:szCs w:val="24"/>
              </w:rPr>
              <w:t xml:space="preserve">od odbiorców krótkich wiadomości tekstowych (SMS) monitoruje występowanie </w:t>
            </w:r>
            <w:r w:rsidRPr="00C2523C">
              <w:rPr>
                <w:rFonts w:cstheme="minorHAnsi"/>
                <w:i/>
                <w:iCs/>
                <w:sz w:val="24"/>
                <w:szCs w:val="24"/>
              </w:rPr>
              <w:t>smishingu</w:t>
            </w:r>
            <w:r w:rsidRPr="00C2523C">
              <w:rPr>
                <w:rFonts w:cstheme="minorHAnsi"/>
                <w:sz w:val="24"/>
                <w:szCs w:val="24"/>
              </w:rPr>
              <w:t>,</w:t>
            </w:r>
            <w:r w:rsidR="00AB6C72" w:rsidRPr="00C2523C">
              <w:rPr>
                <w:rFonts w:cstheme="minorHAnsi"/>
                <w:sz w:val="24"/>
                <w:szCs w:val="24"/>
              </w:rPr>
              <w:t xml:space="preserve"> </w:t>
            </w:r>
            <w:r w:rsidRPr="00C2523C">
              <w:rPr>
                <w:rFonts w:cstheme="minorHAnsi"/>
                <w:sz w:val="24"/>
                <w:szCs w:val="24"/>
              </w:rPr>
              <w:t>czyli działania polegającego na wyłudzeniu danych osobowych za pośrednictwem SMS. Norma ta</w:t>
            </w:r>
            <w:r w:rsidR="00AB6C72" w:rsidRPr="00C2523C">
              <w:rPr>
                <w:rFonts w:cstheme="minorHAnsi"/>
                <w:sz w:val="24"/>
                <w:szCs w:val="24"/>
              </w:rPr>
              <w:t xml:space="preserve"> </w:t>
            </w:r>
            <w:r w:rsidRPr="00C2523C">
              <w:rPr>
                <w:rFonts w:cstheme="minorHAnsi"/>
                <w:sz w:val="24"/>
                <w:szCs w:val="24"/>
              </w:rPr>
              <w:t xml:space="preserve">uprawnia CSIRT NASK do monitorowania występowania </w:t>
            </w:r>
            <w:r w:rsidRPr="00C2523C">
              <w:rPr>
                <w:rFonts w:cstheme="minorHAnsi"/>
                <w:i/>
                <w:iCs/>
                <w:sz w:val="24"/>
                <w:szCs w:val="24"/>
              </w:rPr>
              <w:t xml:space="preserve">smishingu </w:t>
            </w:r>
            <w:r w:rsidRPr="00C2523C">
              <w:rPr>
                <w:rFonts w:cstheme="minorHAnsi"/>
                <w:sz w:val="24"/>
                <w:szCs w:val="24"/>
              </w:rPr>
              <w:t>bez określenia trybu tego</w:t>
            </w:r>
            <w:r w:rsidR="00AB6C72" w:rsidRPr="00C2523C">
              <w:rPr>
                <w:rFonts w:cstheme="minorHAnsi"/>
                <w:sz w:val="24"/>
                <w:szCs w:val="24"/>
              </w:rPr>
              <w:t xml:space="preserve"> </w:t>
            </w:r>
            <w:r w:rsidRPr="00C2523C">
              <w:rPr>
                <w:rFonts w:cstheme="minorHAnsi"/>
                <w:sz w:val="24"/>
                <w:szCs w:val="24"/>
              </w:rPr>
              <w:t>monitoringu i jego zakresu, w tym zakresu dostępu, zakresu podlegających kontroli danych,</w:t>
            </w:r>
            <w:r w:rsidR="00AB6C72" w:rsidRPr="00C2523C">
              <w:rPr>
                <w:rFonts w:cstheme="minorHAnsi"/>
                <w:sz w:val="24"/>
                <w:szCs w:val="24"/>
              </w:rPr>
              <w:t xml:space="preserve"> </w:t>
            </w:r>
            <w:r w:rsidRPr="00C2523C">
              <w:rPr>
                <w:rFonts w:cstheme="minorHAnsi"/>
                <w:sz w:val="24"/>
                <w:szCs w:val="24"/>
              </w:rPr>
              <w:t>podmiotów które będą podlegać monitoringowi. W tej części sposób monitorowania</w:t>
            </w:r>
            <w:r w:rsidR="00AB6C72" w:rsidRPr="00C2523C">
              <w:rPr>
                <w:rFonts w:cstheme="minorHAnsi"/>
                <w:sz w:val="24"/>
                <w:szCs w:val="24"/>
              </w:rPr>
              <w:t xml:space="preserve"> </w:t>
            </w:r>
            <w:r w:rsidRPr="00C2523C">
              <w:rPr>
                <w:rFonts w:cstheme="minorHAnsi"/>
                <w:sz w:val="24"/>
                <w:szCs w:val="24"/>
              </w:rPr>
              <w:t>występowania tego zjawiska powinien być ściśle uregulowany w ustawie przez określenie trybu</w:t>
            </w:r>
            <w:r w:rsidR="00AB6C72" w:rsidRPr="00C2523C">
              <w:rPr>
                <w:rFonts w:cstheme="minorHAnsi"/>
                <w:sz w:val="24"/>
                <w:szCs w:val="24"/>
              </w:rPr>
              <w:t xml:space="preserve"> </w:t>
            </w:r>
            <w:r w:rsidRPr="00C2523C">
              <w:rPr>
                <w:rFonts w:cstheme="minorHAnsi"/>
                <w:sz w:val="24"/>
                <w:szCs w:val="24"/>
              </w:rPr>
              <w:t>monitorowania tego nadużycia oraz jego kontroli. Przekazanie nieograniczonych uprawnień do</w:t>
            </w:r>
            <w:r w:rsidR="00AB6C72" w:rsidRPr="00C2523C">
              <w:rPr>
                <w:rFonts w:cstheme="minorHAnsi"/>
                <w:sz w:val="24"/>
                <w:szCs w:val="24"/>
              </w:rPr>
              <w:t xml:space="preserve"> </w:t>
            </w:r>
            <w:r w:rsidRPr="00C2523C">
              <w:rPr>
                <w:rFonts w:cstheme="minorHAnsi"/>
                <w:sz w:val="24"/>
                <w:szCs w:val="24"/>
              </w:rPr>
              <w:t>monitorowania nadużyć daje też nieograniczone uprawnienia do wglądu do systemów</w:t>
            </w:r>
            <w:r w:rsidR="00AB6C72" w:rsidRPr="00C2523C">
              <w:rPr>
                <w:rFonts w:cstheme="minorHAnsi"/>
                <w:sz w:val="24"/>
                <w:szCs w:val="24"/>
              </w:rPr>
              <w:t xml:space="preserve"> </w:t>
            </w:r>
            <w:r w:rsidRPr="00C2523C">
              <w:rPr>
                <w:rFonts w:cstheme="minorHAnsi"/>
                <w:sz w:val="24"/>
                <w:szCs w:val="24"/>
              </w:rPr>
              <w:t>informatycznych firm telekomunikacyjnych, jak też na konta osób fizycznych, i może się</w:t>
            </w:r>
            <w:r w:rsidR="00AB6C72" w:rsidRPr="00C2523C">
              <w:rPr>
                <w:rFonts w:cstheme="minorHAnsi"/>
                <w:sz w:val="24"/>
                <w:szCs w:val="24"/>
              </w:rPr>
              <w:t xml:space="preserve"> </w:t>
            </w:r>
            <w:r w:rsidRPr="00C2523C">
              <w:rPr>
                <w:rFonts w:cstheme="minorHAnsi"/>
                <w:sz w:val="24"/>
                <w:szCs w:val="24"/>
              </w:rPr>
              <w:lastRenderedPageBreak/>
              <w:t>wiązać z naruszeniem interesów tajemnicy przedsiębiorstwa, jego interesów gospodarczych,</w:t>
            </w:r>
            <w:r w:rsidR="00AB6C72" w:rsidRPr="00C2523C">
              <w:rPr>
                <w:rFonts w:cstheme="minorHAnsi"/>
                <w:sz w:val="24"/>
                <w:szCs w:val="24"/>
              </w:rPr>
              <w:t xml:space="preserve"> </w:t>
            </w:r>
            <w:r w:rsidRPr="00C2523C">
              <w:rPr>
                <w:rFonts w:cstheme="minorHAnsi"/>
                <w:sz w:val="24"/>
                <w:szCs w:val="24"/>
              </w:rPr>
              <w:t>czy też wolności komunikowania się.</w:t>
            </w:r>
          </w:p>
        </w:tc>
        <w:tc>
          <w:tcPr>
            <w:tcW w:w="3509" w:type="dxa"/>
          </w:tcPr>
          <w:p w14:paraId="382FF485" w14:textId="410ED95A" w:rsidR="00AB6C72" w:rsidRPr="00C2523C" w:rsidRDefault="000C710E" w:rsidP="00277373">
            <w:pPr>
              <w:rPr>
                <w:rFonts w:cstheme="minorHAnsi"/>
                <w:b/>
                <w:sz w:val="24"/>
                <w:szCs w:val="24"/>
              </w:rPr>
            </w:pPr>
            <w:r w:rsidRPr="00C2523C">
              <w:rPr>
                <w:rFonts w:cstheme="minorHAnsi"/>
                <w:b/>
                <w:sz w:val="24"/>
                <w:szCs w:val="24"/>
              </w:rPr>
              <w:lastRenderedPageBreak/>
              <w:t>Uwaga w</w:t>
            </w:r>
            <w:r w:rsidR="00AB6C72" w:rsidRPr="00C2523C">
              <w:rPr>
                <w:rFonts w:cstheme="minorHAnsi"/>
                <w:b/>
                <w:sz w:val="24"/>
                <w:szCs w:val="24"/>
              </w:rPr>
              <w:t>yjaśni</w:t>
            </w:r>
            <w:r w:rsidRPr="00C2523C">
              <w:rPr>
                <w:rFonts w:cstheme="minorHAnsi"/>
                <w:b/>
                <w:sz w:val="24"/>
                <w:szCs w:val="24"/>
              </w:rPr>
              <w:t>ona</w:t>
            </w:r>
          </w:p>
          <w:p w14:paraId="133EE8CD" w14:textId="01BEC0A9" w:rsidR="00FD3498" w:rsidRPr="00C2523C" w:rsidRDefault="00AB6C72">
            <w:pPr>
              <w:rPr>
                <w:rFonts w:cstheme="minorHAnsi"/>
                <w:b/>
                <w:sz w:val="24"/>
                <w:szCs w:val="24"/>
              </w:rPr>
            </w:pPr>
            <w:r w:rsidRPr="00C2523C">
              <w:rPr>
                <w:rFonts w:cstheme="minorHAnsi"/>
                <w:sz w:val="24"/>
                <w:szCs w:val="24"/>
              </w:rPr>
              <w:t>CSIRT NASK będzie monitorował występowanie zjawiska smishingu na podstawie danych przekazanych mu przez podmioty trzecie – odbiorców SMS czy np. samych przedsiębiorców telekomunikacyjnych. Będzie to się odbywało dokładnie w taki sam sposób jak to się dzieje obecnie – poprzez przekazanie sms na specjalny numer</w:t>
            </w:r>
            <w:r w:rsidRPr="00C2523C">
              <w:rPr>
                <w:rStyle w:val="Odwoanieprzypisudolnego"/>
                <w:rFonts w:cstheme="minorHAnsi"/>
                <w:sz w:val="24"/>
                <w:szCs w:val="24"/>
              </w:rPr>
              <w:footnoteReference w:id="2"/>
            </w:r>
            <w:r w:rsidRPr="00C2523C">
              <w:rPr>
                <w:rFonts w:cstheme="minorHAnsi"/>
                <w:sz w:val="24"/>
                <w:szCs w:val="24"/>
              </w:rPr>
              <w:t xml:space="preserve"> albo poprzez formularz na stronie internetowej</w:t>
            </w:r>
            <w:r w:rsidRPr="00C2523C">
              <w:rPr>
                <w:rStyle w:val="Odwoanieprzypisudolnego"/>
                <w:rFonts w:cstheme="minorHAnsi"/>
                <w:sz w:val="24"/>
                <w:szCs w:val="24"/>
              </w:rPr>
              <w:footnoteReference w:id="3"/>
            </w:r>
            <w:r w:rsidRPr="00C2523C">
              <w:rPr>
                <w:rFonts w:cstheme="minorHAnsi"/>
                <w:sz w:val="24"/>
                <w:szCs w:val="24"/>
              </w:rPr>
              <w:t xml:space="preserve">. Niniejszy projekt ustawy nie przyznaje CSIRT NASK uprawnienia do np. żądania </w:t>
            </w:r>
            <w:r w:rsidRPr="00C2523C">
              <w:rPr>
                <w:rFonts w:cstheme="minorHAnsi"/>
                <w:sz w:val="24"/>
                <w:szCs w:val="24"/>
              </w:rPr>
              <w:lastRenderedPageBreak/>
              <w:t>informacji stanowiących tajemnicę przedsiębiorstwa w celu monitorowania smishingu.</w:t>
            </w:r>
          </w:p>
        </w:tc>
      </w:tr>
      <w:tr w:rsidR="00C2523C" w:rsidRPr="00C2523C" w14:paraId="7EF8D925" w14:textId="77777777" w:rsidTr="002F0E46">
        <w:tc>
          <w:tcPr>
            <w:tcW w:w="762" w:type="dxa"/>
            <w:gridSpan w:val="2"/>
          </w:tcPr>
          <w:p w14:paraId="6B9235A4" w14:textId="77777777" w:rsidR="00225989" w:rsidRPr="00C2523C" w:rsidRDefault="00225989"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6320C352" w14:textId="3B7505A6" w:rsidR="00225989" w:rsidRPr="00C2523C" w:rsidRDefault="00225989" w:rsidP="00277373">
            <w:pPr>
              <w:rPr>
                <w:rFonts w:cstheme="minorHAnsi"/>
                <w:sz w:val="24"/>
                <w:szCs w:val="24"/>
              </w:rPr>
            </w:pPr>
            <w:r w:rsidRPr="00C2523C">
              <w:rPr>
                <w:rFonts w:cstheme="minorHAnsi"/>
                <w:sz w:val="24"/>
                <w:szCs w:val="24"/>
              </w:rPr>
              <w:t>MKSS</w:t>
            </w:r>
          </w:p>
        </w:tc>
        <w:tc>
          <w:tcPr>
            <w:tcW w:w="1328" w:type="dxa"/>
          </w:tcPr>
          <w:p w14:paraId="7AF20C9C" w14:textId="51A6BCDD" w:rsidR="00225989" w:rsidRPr="00C2523C" w:rsidRDefault="00225989" w:rsidP="00277373">
            <w:pPr>
              <w:rPr>
                <w:rFonts w:cstheme="minorHAnsi"/>
                <w:sz w:val="24"/>
                <w:szCs w:val="24"/>
              </w:rPr>
            </w:pPr>
            <w:r w:rsidRPr="00C2523C">
              <w:rPr>
                <w:rFonts w:cstheme="minorHAnsi"/>
                <w:sz w:val="24"/>
                <w:szCs w:val="24"/>
              </w:rPr>
              <w:t>Art. 4 ust. 1</w:t>
            </w:r>
          </w:p>
        </w:tc>
        <w:tc>
          <w:tcPr>
            <w:tcW w:w="7229" w:type="dxa"/>
          </w:tcPr>
          <w:p w14:paraId="32DAA520" w14:textId="2E0DBD08" w:rsidR="00225989" w:rsidRPr="00C2523C" w:rsidRDefault="00225989" w:rsidP="00BF24F1">
            <w:pPr>
              <w:autoSpaceDE w:val="0"/>
              <w:autoSpaceDN w:val="0"/>
              <w:adjustRightInd w:val="0"/>
              <w:rPr>
                <w:rFonts w:cstheme="minorHAnsi"/>
                <w:sz w:val="24"/>
                <w:szCs w:val="24"/>
              </w:rPr>
            </w:pPr>
            <w:r w:rsidRPr="00C2523C">
              <w:rPr>
                <w:rFonts w:cstheme="minorHAnsi"/>
                <w:sz w:val="24"/>
                <w:szCs w:val="24"/>
              </w:rPr>
              <w:t>Ponadto, w projektowanym art. 4 ust. 1 projektu zawarto rozwiązanie, zgodnie z którym CSIRT NASK monitoruje występowanie smishingu na podstawie informacji otrzymanych od odbiorców krótkich wiadomości tekstowych (SMS). CSIRT NASK powinien inicjować monitoring zjawiska smishingu także na podstawie pozostałych działań, np. posiadanej wiedzy własnej, a także występowania doniesień medialnych.</w:t>
            </w:r>
          </w:p>
        </w:tc>
        <w:tc>
          <w:tcPr>
            <w:tcW w:w="3509" w:type="dxa"/>
          </w:tcPr>
          <w:p w14:paraId="0807682F" w14:textId="036D6AFB" w:rsidR="00225989" w:rsidRPr="00C2523C" w:rsidRDefault="00384BB8" w:rsidP="00277373">
            <w:pPr>
              <w:rPr>
                <w:rFonts w:cstheme="minorHAnsi"/>
                <w:b/>
                <w:sz w:val="24"/>
                <w:szCs w:val="24"/>
              </w:rPr>
            </w:pPr>
            <w:r w:rsidRPr="00C2523C">
              <w:rPr>
                <w:rFonts w:cstheme="minorHAnsi"/>
                <w:b/>
                <w:sz w:val="24"/>
                <w:szCs w:val="24"/>
              </w:rPr>
              <w:t>Uwaga wyjaśniona</w:t>
            </w:r>
            <w:r w:rsidR="00225989" w:rsidRPr="00C2523C">
              <w:rPr>
                <w:rFonts w:cstheme="minorHAnsi"/>
                <w:b/>
                <w:sz w:val="24"/>
                <w:szCs w:val="24"/>
              </w:rPr>
              <w:t xml:space="preserve"> </w:t>
            </w:r>
          </w:p>
          <w:p w14:paraId="09640706" w14:textId="77777777" w:rsidR="008B14A0" w:rsidRDefault="00627393" w:rsidP="00627393">
            <w:pPr>
              <w:rPr>
                <w:rFonts w:cstheme="minorHAnsi"/>
                <w:sz w:val="24"/>
                <w:szCs w:val="24"/>
              </w:rPr>
            </w:pPr>
            <w:r w:rsidRPr="00C2523C">
              <w:rPr>
                <w:rFonts w:cstheme="minorHAnsi"/>
                <w:sz w:val="24"/>
                <w:szCs w:val="24"/>
              </w:rPr>
              <w:t>Ustawa określa jedynie podstawowy sposób otrzymywania przez CSIRT NASK informacji o nadużyciach w</w:t>
            </w:r>
            <w:r w:rsidR="00BB1B35" w:rsidRPr="00C2523C">
              <w:rPr>
                <w:rFonts w:cstheme="minorHAnsi"/>
                <w:sz w:val="24"/>
                <w:szCs w:val="24"/>
              </w:rPr>
              <w:t> </w:t>
            </w:r>
            <w:r w:rsidRPr="00C2523C">
              <w:rPr>
                <w:rFonts w:cstheme="minorHAnsi"/>
                <w:sz w:val="24"/>
                <w:szCs w:val="24"/>
              </w:rPr>
              <w:t>komunikacji elektronicznej. Nie oznacza to, że będą to jedyne źródła – CSIRT NASK</w:t>
            </w:r>
            <w:r w:rsidR="0031593D" w:rsidRPr="00C2523C">
              <w:rPr>
                <w:rFonts w:cstheme="minorHAnsi"/>
                <w:sz w:val="24"/>
                <w:szCs w:val="24"/>
              </w:rPr>
              <w:t>,</w:t>
            </w:r>
          </w:p>
          <w:p w14:paraId="08FD7832" w14:textId="5D6E386F" w:rsidR="00225989" w:rsidRPr="00C2523C" w:rsidRDefault="0031593D" w:rsidP="00627393">
            <w:pPr>
              <w:rPr>
                <w:rFonts w:cstheme="minorHAnsi"/>
                <w:sz w:val="24"/>
                <w:szCs w:val="24"/>
              </w:rPr>
            </w:pPr>
            <w:r w:rsidRPr="00C2523C">
              <w:rPr>
                <w:rFonts w:cstheme="minorHAnsi"/>
                <w:sz w:val="24"/>
                <w:szCs w:val="24"/>
              </w:rPr>
              <w:t xml:space="preserve">CSIRT NASK </w:t>
            </w:r>
            <w:r w:rsidR="00627393" w:rsidRPr="00C2523C">
              <w:rPr>
                <w:rFonts w:cstheme="minorHAnsi"/>
                <w:sz w:val="24"/>
                <w:szCs w:val="24"/>
              </w:rPr>
              <w:t>będzie prowadził monitoring zjawiska smishingu także na podstawie pozostałych działań, np. posiadanej wiedzy własnej, a</w:t>
            </w:r>
            <w:r w:rsidRPr="00C2523C">
              <w:rPr>
                <w:rFonts w:cstheme="minorHAnsi"/>
                <w:sz w:val="24"/>
                <w:szCs w:val="24"/>
              </w:rPr>
              <w:t> </w:t>
            </w:r>
            <w:r w:rsidR="00627393" w:rsidRPr="00C2523C">
              <w:rPr>
                <w:rFonts w:cstheme="minorHAnsi"/>
                <w:sz w:val="24"/>
                <w:szCs w:val="24"/>
              </w:rPr>
              <w:t>także występowania doniesień medialnych.</w:t>
            </w:r>
          </w:p>
        </w:tc>
      </w:tr>
      <w:tr w:rsidR="00C2523C" w:rsidRPr="00C2523C" w14:paraId="725BF993" w14:textId="77777777" w:rsidTr="002F0E46">
        <w:tc>
          <w:tcPr>
            <w:tcW w:w="762" w:type="dxa"/>
            <w:gridSpan w:val="2"/>
          </w:tcPr>
          <w:p w14:paraId="530FA0E5" w14:textId="22C461D1"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199C5646" w14:textId="76191F86"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1DA6702E" w14:textId="3AD5FF91" w:rsidR="00BF24F1" w:rsidRPr="00C2523C" w:rsidRDefault="00BF24F1" w:rsidP="00277373">
            <w:pPr>
              <w:rPr>
                <w:rFonts w:cstheme="minorHAnsi"/>
                <w:sz w:val="24"/>
                <w:szCs w:val="24"/>
              </w:rPr>
            </w:pPr>
            <w:r w:rsidRPr="00C2523C">
              <w:rPr>
                <w:rFonts w:cstheme="minorHAnsi"/>
                <w:sz w:val="24"/>
                <w:szCs w:val="24"/>
              </w:rPr>
              <w:t>Art. 4 ust. 1</w:t>
            </w:r>
          </w:p>
        </w:tc>
        <w:tc>
          <w:tcPr>
            <w:tcW w:w="7229" w:type="dxa"/>
          </w:tcPr>
          <w:p w14:paraId="04A0C86E" w14:textId="77777777"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w przypadku projektowanego art. 4:</w:t>
            </w:r>
          </w:p>
          <w:p w14:paraId="309B767E" w14:textId="4DCBD2C4"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a) zauważyć należy brak chociażby podstawowego uregulowania procedury zgłaszania</w:t>
            </w:r>
            <w:r w:rsidR="00F85D88" w:rsidRPr="00C2523C">
              <w:rPr>
                <w:rFonts w:cstheme="minorHAnsi"/>
                <w:sz w:val="24"/>
                <w:szCs w:val="24"/>
              </w:rPr>
              <w:t xml:space="preserve"> </w:t>
            </w:r>
            <w:r w:rsidRPr="00C2523C">
              <w:rPr>
                <w:rFonts w:cstheme="minorHAnsi"/>
                <w:sz w:val="24"/>
                <w:szCs w:val="24"/>
              </w:rPr>
              <w:t>przez odbiorcę „wystąpienia smishingu” – wydaje się bowiem, że regulacja ust. 1 wskazująca</w:t>
            </w:r>
            <w:r w:rsidR="00F85D88" w:rsidRPr="00C2523C">
              <w:rPr>
                <w:rFonts w:cstheme="minorHAnsi"/>
                <w:sz w:val="24"/>
                <w:szCs w:val="24"/>
              </w:rPr>
              <w:t xml:space="preserve"> </w:t>
            </w:r>
            <w:r w:rsidRPr="00C2523C">
              <w:rPr>
                <w:rFonts w:cstheme="minorHAnsi"/>
                <w:sz w:val="24"/>
                <w:szCs w:val="24"/>
              </w:rPr>
              <w:t>na „otrzymane od odbiorców krótkie wiadomości tekstowe (SMS)” są niewystarczającą</w:t>
            </w:r>
          </w:p>
          <w:p w14:paraId="198BACD9" w14:textId="42756FCE" w:rsidR="00BF24F1" w:rsidRPr="00C2523C" w:rsidRDefault="00BF24F1" w:rsidP="00DE552E">
            <w:pPr>
              <w:autoSpaceDE w:val="0"/>
              <w:autoSpaceDN w:val="0"/>
              <w:adjustRightInd w:val="0"/>
              <w:rPr>
                <w:rFonts w:cstheme="minorHAnsi"/>
                <w:sz w:val="24"/>
                <w:szCs w:val="24"/>
              </w:rPr>
            </w:pPr>
            <w:r w:rsidRPr="00C2523C">
              <w:rPr>
                <w:rFonts w:cstheme="minorHAnsi"/>
                <w:sz w:val="24"/>
                <w:szCs w:val="24"/>
              </w:rPr>
              <w:t>regulacją proceduralną. Nie wiadomo bowiem, czy odbiorca przekazuje treść otrzymanej od</w:t>
            </w:r>
            <w:r w:rsidR="00F85D88" w:rsidRPr="00C2523C">
              <w:rPr>
                <w:rFonts w:cstheme="minorHAnsi"/>
                <w:sz w:val="24"/>
                <w:szCs w:val="24"/>
              </w:rPr>
              <w:t xml:space="preserve"> </w:t>
            </w:r>
            <w:r w:rsidRPr="00C2523C">
              <w:rPr>
                <w:rFonts w:cstheme="minorHAnsi"/>
                <w:sz w:val="24"/>
                <w:szCs w:val="24"/>
              </w:rPr>
              <w:t>nadawcy wiadomości, czy wysyła odrębne zgłoszenie podejrzenia nadużycia. Nie wiadomo</w:t>
            </w:r>
            <w:r w:rsidR="00F85D88" w:rsidRPr="00C2523C">
              <w:rPr>
                <w:rFonts w:cstheme="minorHAnsi"/>
                <w:sz w:val="24"/>
                <w:szCs w:val="24"/>
              </w:rPr>
              <w:t xml:space="preserve"> </w:t>
            </w:r>
            <w:r w:rsidRPr="00C2523C">
              <w:rPr>
                <w:rFonts w:cstheme="minorHAnsi"/>
                <w:sz w:val="24"/>
                <w:szCs w:val="24"/>
              </w:rPr>
              <w:t>także gdzie takie zgłoszenie może być przekazywane (z projektu wynika jedynie, że CSIRT</w:t>
            </w:r>
            <w:r w:rsidR="00F85D88" w:rsidRPr="00C2523C">
              <w:rPr>
                <w:rFonts w:cstheme="minorHAnsi"/>
                <w:sz w:val="24"/>
                <w:szCs w:val="24"/>
              </w:rPr>
              <w:t xml:space="preserve"> </w:t>
            </w:r>
            <w:r w:rsidRPr="00C2523C">
              <w:rPr>
                <w:rFonts w:cstheme="minorHAnsi"/>
                <w:sz w:val="24"/>
                <w:szCs w:val="24"/>
              </w:rPr>
              <w:t>NASK otrzymuje od odbiorców krótkie wiadomości), ani jakie dane przekazuje się łącznie</w:t>
            </w:r>
            <w:r w:rsidR="00F85D88" w:rsidRPr="00C2523C">
              <w:rPr>
                <w:rFonts w:cstheme="minorHAnsi"/>
                <w:sz w:val="24"/>
                <w:szCs w:val="24"/>
              </w:rPr>
              <w:t xml:space="preserve"> </w:t>
            </w:r>
            <w:r w:rsidRPr="00C2523C">
              <w:rPr>
                <w:rFonts w:cstheme="minorHAnsi"/>
                <w:sz w:val="24"/>
                <w:szCs w:val="24"/>
              </w:rPr>
              <w:t>z tą wiadomością,</w:t>
            </w:r>
            <w:r w:rsidR="000C710E" w:rsidRPr="00C2523C">
              <w:rPr>
                <w:rFonts w:cstheme="minorHAnsi"/>
                <w:sz w:val="24"/>
                <w:szCs w:val="24"/>
              </w:rPr>
              <w:tab/>
            </w:r>
          </w:p>
        </w:tc>
        <w:tc>
          <w:tcPr>
            <w:tcW w:w="3509" w:type="dxa"/>
          </w:tcPr>
          <w:p w14:paraId="2DC94A14" w14:textId="17ADCA32" w:rsidR="00F85D88" w:rsidRPr="00C2523C" w:rsidRDefault="00F85D88" w:rsidP="00277373">
            <w:pPr>
              <w:rPr>
                <w:rFonts w:cstheme="minorHAnsi"/>
                <w:b/>
                <w:sz w:val="24"/>
                <w:szCs w:val="24"/>
              </w:rPr>
            </w:pPr>
            <w:r w:rsidRPr="00C2523C">
              <w:rPr>
                <w:rFonts w:cstheme="minorHAnsi"/>
                <w:b/>
                <w:sz w:val="24"/>
                <w:szCs w:val="24"/>
              </w:rPr>
              <w:t xml:space="preserve">Uwaga </w:t>
            </w:r>
            <w:r w:rsidR="00F9657A" w:rsidRPr="00C2523C">
              <w:rPr>
                <w:rFonts w:cstheme="minorHAnsi"/>
                <w:b/>
                <w:sz w:val="24"/>
                <w:szCs w:val="24"/>
              </w:rPr>
              <w:t>wyjaśniona</w:t>
            </w:r>
          </w:p>
          <w:p w14:paraId="11647FDD" w14:textId="6D0FAEE3" w:rsidR="00F85D88" w:rsidRPr="00C2523C" w:rsidRDefault="00F9657A" w:rsidP="00277373">
            <w:pPr>
              <w:rPr>
                <w:rFonts w:cstheme="minorHAnsi"/>
                <w:sz w:val="24"/>
                <w:szCs w:val="24"/>
              </w:rPr>
            </w:pPr>
            <w:r w:rsidRPr="00C2523C">
              <w:rPr>
                <w:rFonts w:cstheme="minorHAnsi"/>
                <w:sz w:val="24"/>
                <w:szCs w:val="24"/>
              </w:rPr>
              <w:t>O</w:t>
            </w:r>
            <w:r w:rsidR="00F85D88" w:rsidRPr="00C2523C">
              <w:rPr>
                <w:rFonts w:cstheme="minorHAnsi"/>
                <w:sz w:val="24"/>
                <w:szCs w:val="24"/>
              </w:rPr>
              <w:t>dbiorca może przesłać treść podejrzanej wiadomości wraz ze wskazaniem numeru.</w:t>
            </w:r>
            <w:r w:rsidRPr="00C2523C">
              <w:rPr>
                <w:rFonts w:cstheme="minorHAnsi"/>
                <w:sz w:val="24"/>
                <w:szCs w:val="24"/>
              </w:rPr>
              <w:t xml:space="preserve"> </w:t>
            </w:r>
            <w:r w:rsidR="00F85D88" w:rsidRPr="00C2523C">
              <w:rPr>
                <w:rFonts w:cstheme="minorHAnsi"/>
                <w:sz w:val="24"/>
                <w:szCs w:val="24"/>
              </w:rPr>
              <w:t xml:space="preserve">Przekazanie </w:t>
            </w:r>
            <w:r w:rsidRPr="00C2523C">
              <w:rPr>
                <w:rFonts w:cstheme="minorHAnsi"/>
                <w:sz w:val="24"/>
                <w:szCs w:val="24"/>
              </w:rPr>
              <w:t>będzie mogło się odbyć p</w:t>
            </w:r>
            <w:r w:rsidR="00F85D88" w:rsidRPr="00C2523C">
              <w:rPr>
                <w:rFonts w:cstheme="minorHAnsi"/>
                <w:sz w:val="24"/>
                <w:szCs w:val="24"/>
              </w:rPr>
              <w:t>oprzez przesłanie takiej wiadomości sms</w:t>
            </w:r>
            <w:r w:rsidRPr="00C2523C">
              <w:rPr>
                <w:rFonts w:cstheme="minorHAnsi"/>
                <w:sz w:val="24"/>
                <w:szCs w:val="24"/>
              </w:rPr>
              <w:t>’</w:t>
            </w:r>
            <w:r w:rsidR="00F85D88" w:rsidRPr="00C2523C">
              <w:rPr>
                <w:rFonts w:cstheme="minorHAnsi"/>
                <w:sz w:val="24"/>
                <w:szCs w:val="24"/>
              </w:rPr>
              <w:t>em do CSIRT NASK</w:t>
            </w:r>
          </w:p>
          <w:p w14:paraId="1727F12D" w14:textId="064A3962" w:rsidR="00BF24F1" w:rsidRPr="00C2523C" w:rsidRDefault="00F9657A" w:rsidP="00277373">
            <w:pPr>
              <w:rPr>
                <w:rFonts w:cstheme="minorHAnsi"/>
                <w:sz w:val="24"/>
                <w:szCs w:val="24"/>
              </w:rPr>
            </w:pPr>
            <w:r w:rsidRPr="00C2523C">
              <w:rPr>
                <w:rFonts w:cstheme="minorHAnsi"/>
                <w:sz w:val="24"/>
                <w:szCs w:val="24"/>
              </w:rPr>
              <w:t>a</w:t>
            </w:r>
            <w:r w:rsidR="00F85D88" w:rsidRPr="00C2523C">
              <w:rPr>
                <w:rFonts w:cstheme="minorHAnsi"/>
                <w:sz w:val="24"/>
                <w:szCs w:val="24"/>
              </w:rPr>
              <w:t>lbo</w:t>
            </w:r>
            <w:r w:rsidRPr="00C2523C">
              <w:rPr>
                <w:rFonts w:cstheme="minorHAnsi"/>
                <w:sz w:val="24"/>
                <w:szCs w:val="24"/>
              </w:rPr>
              <w:t xml:space="preserve"> p</w:t>
            </w:r>
            <w:r w:rsidR="00F85D88" w:rsidRPr="00C2523C">
              <w:rPr>
                <w:rFonts w:cstheme="minorHAnsi"/>
                <w:sz w:val="24"/>
                <w:szCs w:val="24"/>
              </w:rPr>
              <w:t>oprzez formularz na stronie internetowej</w:t>
            </w:r>
            <w:r w:rsidRPr="00C2523C">
              <w:rPr>
                <w:rFonts w:cstheme="minorHAnsi"/>
                <w:sz w:val="24"/>
                <w:szCs w:val="24"/>
              </w:rPr>
              <w:t>. O informacje w</w:t>
            </w:r>
            <w:r w:rsidR="0031593D" w:rsidRPr="00C2523C">
              <w:rPr>
                <w:rFonts w:cstheme="minorHAnsi"/>
                <w:sz w:val="24"/>
                <w:szCs w:val="24"/>
              </w:rPr>
              <w:t> </w:t>
            </w:r>
            <w:r w:rsidRPr="00C2523C">
              <w:rPr>
                <w:rFonts w:cstheme="minorHAnsi"/>
                <w:sz w:val="24"/>
                <w:szCs w:val="24"/>
              </w:rPr>
              <w:t xml:space="preserve">tym zakresie zostanie uzupełnione uzasadnienie do ustawy. </w:t>
            </w:r>
          </w:p>
        </w:tc>
      </w:tr>
      <w:tr w:rsidR="00C2523C" w:rsidRPr="00C2523C" w14:paraId="6771E38F" w14:textId="77777777" w:rsidTr="002F0E46">
        <w:tc>
          <w:tcPr>
            <w:tcW w:w="762" w:type="dxa"/>
            <w:gridSpan w:val="2"/>
          </w:tcPr>
          <w:p w14:paraId="61684A13" w14:textId="68B2EFC4"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78EE9FAE" w14:textId="5E562C4B"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7570BBD0" w14:textId="01221BD0" w:rsidR="00BF24F1" w:rsidRPr="00C2523C" w:rsidRDefault="00BF24F1" w:rsidP="00277373">
            <w:pPr>
              <w:rPr>
                <w:rFonts w:cstheme="minorHAnsi"/>
                <w:sz w:val="24"/>
                <w:szCs w:val="24"/>
              </w:rPr>
            </w:pPr>
            <w:r w:rsidRPr="00C2523C">
              <w:rPr>
                <w:rFonts w:cstheme="minorHAnsi"/>
                <w:sz w:val="24"/>
                <w:szCs w:val="24"/>
              </w:rPr>
              <w:t>Art. 4 ust. 1</w:t>
            </w:r>
          </w:p>
        </w:tc>
        <w:tc>
          <w:tcPr>
            <w:tcW w:w="7229" w:type="dxa"/>
          </w:tcPr>
          <w:p w14:paraId="00E20018" w14:textId="638D19DF" w:rsidR="00BF24F1" w:rsidRPr="00C2523C" w:rsidRDefault="00BF24F1" w:rsidP="00DE552E">
            <w:pPr>
              <w:autoSpaceDE w:val="0"/>
              <w:autoSpaceDN w:val="0"/>
              <w:adjustRightInd w:val="0"/>
              <w:rPr>
                <w:rFonts w:cstheme="minorHAnsi"/>
                <w:sz w:val="24"/>
                <w:szCs w:val="24"/>
              </w:rPr>
            </w:pPr>
            <w:r w:rsidRPr="00C2523C">
              <w:rPr>
                <w:rFonts w:cstheme="minorHAnsi"/>
                <w:sz w:val="24"/>
                <w:szCs w:val="24"/>
              </w:rPr>
              <w:t>b) wskazać należy, że zadania CSIRT NASK regulują przepisy ustawy z dnia 5 lipca</w:t>
            </w:r>
            <w:r w:rsidR="00F85D88" w:rsidRPr="00C2523C">
              <w:rPr>
                <w:rFonts w:cstheme="minorHAnsi"/>
                <w:sz w:val="24"/>
                <w:szCs w:val="24"/>
              </w:rPr>
              <w:t xml:space="preserve"> </w:t>
            </w:r>
            <w:r w:rsidRPr="00C2523C">
              <w:rPr>
                <w:rFonts w:cstheme="minorHAnsi"/>
                <w:sz w:val="24"/>
                <w:szCs w:val="24"/>
              </w:rPr>
              <w:t>2018 r. o krajowym systemie cyberbezpieczeństwa (art. 26 ust. 1, 3 i 6 tej ustawy) - nie</w:t>
            </w:r>
            <w:r w:rsidR="00F85D88" w:rsidRPr="00C2523C">
              <w:rPr>
                <w:rFonts w:cstheme="minorHAnsi"/>
                <w:sz w:val="24"/>
                <w:szCs w:val="24"/>
              </w:rPr>
              <w:t xml:space="preserve"> </w:t>
            </w:r>
            <w:r w:rsidRPr="00C2523C">
              <w:rPr>
                <w:rFonts w:cstheme="minorHAnsi"/>
                <w:sz w:val="24"/>
                <w:szCs w:val="24"/>
              </w:rPr>
              <w:t>wymienia ona jednak, wśród zadań CSIRT NASK, zadań CSIRT NASK powierzonych temu</w:t>
            </w:r>
            <w:r w:rsidR="00F85D88" w:rsidRPr="00C2523C">
              <w:rPr>
                <w:rFonts w:cstheme="minorHAnsi"/>
                <w:sz w:val="24"/>
                <w:szCs w:val="24"/>
              </w:rPr>
              <w:t xml:space="preserve"> </w:t>
            </w:r>
            <w:r w:rsidRPr="00C2523C">
              <w:rPr>
                <w:rFonts w:cstheme="minorHAnsi"/>
                <w:sz w:val="24"/>
                <w:szCs w:val="24"/>
              </w:rPr>
              <w:t>podmiotowi na podstawie przedmiotowego projektu ustawy. Przedmiotowy projekt nie</w:t>
            </w:r>
            <w:r w:rsidR="00F85D88" w:rsidRPr="00C2523C">
              <w:rPr>
                <w:rFonts w:cstheme="minorHAnsi"/>
                <w:sz w:val="24"/>
                <w:szCs w:val="24"/>
              </w:rPr>
              <w:t xml:space="preserve"> </w:t>
            </w:r>
            <w:r w:rsidRPr="00C2523C">
              <w:rPr>
                <w:rFonts w:cstheme="minorHAnsi"/>
                <w:sz w:val="24"/>
                <w:szCs w:val="24"/>
              </w:rPr>
              <w:t>zawiera także przepisów zmieniających ww. ustawę w zakresie powierzenia CSIRT NASK</w:t>
            </w:r>
            <w:r w:rsidR="00F85D88" w:rsidRPr="00C2523C">
              <w:rPr>
                <w:rFonts w:cstheme="minorHAnsi"/>
                <w:sz w:val="24"/>
                <w:szCs w:val="24"/>
              </w:rPr>
              <w:t xml:space="preserve"> </w:t>
            </w:r>
            <w:r w:rsidRPr="00C2523C">
              <w:rPr>
                <w:rFonts w:cstheme="minorHAnsi"/>
                <w:sz w:val="24"/>
                <w:szCs w:val="24"/>
              </w:rPr>
              <w:t>nowych zadań, co wymaga uzupełnienia,</w:t>
            </w:r>
          </w:p>
        </w:tc>
        <w:tc>
          <w:tcPr>
            <w:tcW w:w="3509" w:type="dxa"/>
          </w:tcPr>
          <w:p w14:paraId="0DA6F48E" w14:textId="77777777" w:rsidR="00F9657A" w:rsidRPr="00C2523C" w:rsidRDefault="00F9657A" w:rsidP="00277373">
            <w:pPr>
              <w:rPr>
                <w:rFonts w:cstheme="minorHAnsi"/>
                <w:b/>
                <w:sz w:val="24"/>
                <w:szCs w:val="24"/>
              </w:rPr>
            </w:pPr>
            <w:r w:rsidRPr="00C2523C">
              <w:rPr>
                <w:rFonts w:cstheme="minorHAnsi"/>
                <w:b/>
                <w:sz w:val="24"/>
                <w:szCs w:val="24"/>
              </w:rPr>
              <w:t>Uwaga uwzględniona</w:t>
            </w:r>
          </w:p>
          <w:p w14:paraId="792A50FD" w14:textId="4727B36A" w:rsidR="00BF24F1" w:rsidRPr="00C2523C" w:rsidRDefault="00081F73" w:rsidP="00277373">
            <w:pPr>
              <w:rPr>
                <w:rFonts w:cstheme="minorHAnsi"/>
                <w:sz w:val="24"/>
                <w:szCs w:val="24"/>
              </w:rPr>
            </w:pPr>
            <w:r w:rsidRPr="00C2523C">
              <w:rPr>
                <w:rFonts w:cstheme="minorHAnsi"/>
                <w:sz w:val="24"/>
                <w:szCs w:val="24"/>
              </w:rPr>
              <w:t>Wprowadzono przepisy zmieniające ustawę o krajowym systemie cyberbezpieczeństwa w</w:t>
            </w:r>
            <w:r w:rsidR="0031593D" w:rsidRPr="00C2523C">
              <w:rPr>
                <w:rFonts w:cstheme="minorHAnsi"/>
                <w:sz w:val="24"/>
                <w:szCs w:val="24"/>
              </w:rPr>
              <w:t> </w:t>
            </w:r>
            <w:r w:rsidRPr="00C2523C">
              <w:rPr>
                <w:rFonts w:cstheme="minorHAnsi"/>
                <w:sz w:val="24"/>
                <w:szCs w:val="24"/>
              </w:rPr>
              <w:t>zakresie odnoszącym się do zadań CSIRT NASK.</w:t>
            </w:r>
          </w:p>
        </w:tc>
      </w:tr>
      <w:tr w:rsidR="00C2523C" w:rsidRPr="00C2523C" w14:paraId="708427F3" w14:textId="77777777" w:rsidTr="002F0E46">
        <w:tc>
          <w:tcPr>
            <w:tcW w:w="762" w:type="dxa"/>
            <w:gridSpan w:val="2"/>
          </w:tcPr>
          <w:p w14:paraId="77D866FC" w14:textId="5900A701"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43F3BF51" w14:textId="2801472C"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78FF644F" w14:textId="31D3AA68" w:rsidR="00BF24F1" w:rsidRPr="00C2523C" w:rsidRDefault="00BF24F1" w:rsidP="00277373">
            <w:pPr>
              <w:rPr>
                <w:rFonts w:cstheme="minorHAnsi"/>
                <w:sz w:val="24"/>
                <w:szCs w:val="24"/>
              </w:rPr>
            </w:pPr>
            <w:r w:rsidRPr="00C2523C">
              <w:rPr>
                <w:rFonts w:cstheme="minorHAnsi"/>
                <w:sz w:val="24"/>
                <w:szCs w:val="24"/>
              </w:rPr>
              <w:t>Art. 4</w:t>
            </w:r>
          </w:p>
        </w:tc>
        <w:tc>
          <w:tcPr>
            <w:tcW w:w="7229" w:type="dxa"/>
          </w:tcPr>
          <w:p w14:paraId="302A7689" w14:textId="15B7CF29"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c) wyjaśnienia, a następnie ewentualnego doregulowania w projekcie, wymagają</w:t>
            </w:r>
            <w:r w:rsidR="00F85D88" w:rsidRPr="00C2523C">
              <w:rPr>
                <w:rFonts w:cstheme="minorHAnsi"/>
                <w:sz w:val="24"/>
                <w:szCs w:val="24"/>
              </w:rPr>
              <w:t xml:space="preserve"> </w:t>
            </w:r>
            <w:r w:rsidRPr="00C2523C">
              <w:rPr>
                <w:rFonts w:cstheme="minorHAnsi"/>
                <w:sz w:val="24"/>
                <w:szCs w:val="24"/>
              </w:rPr>
              <w:t>następujące kwestie:</w:t>
            </w:r>
          </w:p>
          <w:p w14:paraId="61A50E80" w14:textId="5472B1EB"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kim jest „odbiorca” wskazany w ust. 1, i czy każdy kto otrzymał wiadomość tekstową</w:t>
            </w:r>
            <w:r w:rsidR="00F85D88" w:rsidRPr="00C2523C">
              <w:rPr>
                <w:rFonts w:cstheme="minorHAnsi"/>
                <w:sz w:val="24"/>
                <w:szCs w:val="24"/>
              </w:rPr>
              <w:t xml:space="preserve"> </w:t>
            </w:r>
            <w:r w:rsidRPr="00C2523C">
              <w:rPr>
                <w:rFonts w:cstheme="minorHAnsi"/>
                <w:sz w:val="24"/>
                <w:szCs w:val="24"/>
              </w:rPr>
              <w:t>co do której ma podejrzenie występowania smishingu może ją zgłosić do CSIRT NASK</w:t>
            </w:r>
            <w:r w:rsidR="00F85D88" w:rsidRPr="00C2523C">
              <w:rPr>
                <w:rFonts w:cstheme="minorHAnsi"/>
                <w:sz w:val="24"/>
                <w:szCs w:val="24"/>
              </w:rPr>
              <w:t xml:space="preserve"> </w:t>
            </w:r>
            <w:r w:rsidRPr="00C2523C">
              <w:rPr>
                <w:rFonts w:cstheme="minorHAnsi"/>
                <w:sz w:val="24"/>
                <w:szCs w:val="24"/>
              </w:rPr>
              <w:t>i w jaki sposób,</w:t>
            </w:r>
          </w:p>
          <w:p w14:paraId="4F8E91EF" w14:textId="550C1330"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na czym polega „monitorowanie” występowania smishingu – czy</w:t>
            </w:r>
            <w:r w:rsidR="00F85D88" w:rsidRPr="00C2523C">
              <w:rPr>
                <w:rFonts w:cstheme="minorHAnsi"/>
                <w:sz w:val="24"/>
                <w:szCs w:val="24"/>
              </w:rPr>
              <w:t xml:space="preserve"> </w:t>
            </w:r>
            <w:r w:rsidRPr="00C2523C">
              <w:rPr>
                <w:rFonts w:cstheme="minorHAnsi"/>
                <w:sz w:val="24"/>
                <w:szCs w:val="24"/>
              </w:rPr>
              <w:t>informacje/wiadomości od odbiorców będą gromadzone, przetwarzane i w jakim miejscu</w:t>
            </w:r>
            <w:r w:rsidR="00F85D88" w:rsidRPr="00C2523C">
              <w:rPr>
                <w:rFonts w:cstheme="minorHAnsi"/>
                <w:sz w:val="24"/>
                <w:szCs w:val="24"/>
              </w:rPr>
              <w:t xml:space="preserve"> </w:t>
            </w:r>
            <w:r w:rsidRPr="00C2523C">
              <w:rPr>
                <w:rFonts w:cstheme="minorHAnsi"/>
                <w:sz w:val="24"/>
                <w:szCs w:val="24"/>
              </w:rPr>
              <w:t>będą one przetwarzane (czy chodzi o system teleinformatyczny, o którym mowa w ust. 3?),</w:t>
            </w:r>
          </w:p>
          <w:p w14:paraId="22283E04" w14:textId="3ED7B7E9"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kto odpowiada za funkcjonowanie systemu teleinformatycznego, o którym mowa</w:t>
            </w:r>
            <w:r w:rsidR="00F85D88" w:rsidRPr="00C2523C">
              <w:rPr>
                <w:rFonts w:cstheme="minorHAnsi"/>
                <w:sz w:val="24"/>
                <w:szCs w:val="24"/>
              </w:rPr>
              <w:t xml:space="preserve"> </w:t>
            </w:r>
            <w:r w:rsidRPr="00C2523C">
              <w:rPr>
                <w:rFonts w:cstheme="minorHAnsi"/>
                <w:sz w:val="24"/>
                <w:szCs w:val="24"/>
              </w:rPr>
              <w:t>w ust. 3, kto jest jego administratorem i administratorem danych w nim gromadzonych (o ile</w:t>
            </w:r>
            <w:r w:rsidR="00F85D88" w:rsidRPr="00C2523C">
              <w:rPr>
                <w:rFonts w:cstheme="minorHAnsi"/>
                <w:sz w:val="24"/>
                <w:szCs w:val="24"/>
              </w:rPr>
              <w:t xml:space="preserve"> </w:t>
            </w:r>
            <w:r w:rsidRPr="00C2523C">
              <w:rPr>
                <w:rFonts w:cstheme="minorHAnsi"/>
                <w:sz w:val="24"/>
                <w:szCs w:val="24"/>
              </w:rPr>
              <w:t>są gromadzone), jakie dane/informacje będą w nim gromadzone i przetwarzane, jak długo</w:t>
            </w:r>
            <w:r w:rsidR="00F85D88" w:rsidRPr="00C2523C">
              <w:rPr>
                <w:rFonts w:cstheme="minorHAnsi"/>
                <w:sz w:val="24"/>
                <w:szCs w:val="24"/>
              </w:rPr>
              <w:t xml:space="preserve"> </w:t>
            </w:r>
            <w:r w:rsidRPr="00C2523C">
              <w:rPr>
                <w:rFonts w:cstheme="minorHAnsi"/>
                <w:sz w:val="24"/>
                <w:szCs w:val="24"/>
              </w:rPr>
              <w:t>będą w tym systemie przechowywane – po jakim czasie się je usuwa i czy w systemie tym</w:t>
            </w:r>
            <w:r w:rsidR="00F85D88" w:rsidRPr="00C2523C">
              <w:rPr>
                <w:rFonts w:cstheme="minorHAnsi"/>
                <w:sz w:val="24"/>
                <w:szCs w:val="24"/>
              </w:rPr>
              <w:t xml:space="preserve"> </w:t>
            </w:r>
            <w:r w:rsidRPr="00C2523C">
              <w:rPr>
                <w:rFonts w:cstheme="minorHAnsi"/>
                <w:sz w:val="24"/>
                <w:szCs w:val="24"/>
              </w:rPr>
              <w:t>przetwarza się także dane osobowe,</w:t>
            </w:r>
          </w:p>
          <w:p w14:paraId="30D932BD" w14:textId="447B3121"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czy „wzorcem wiadomości wyczerpującej znamiona smishingu” jest jedynie treść</w:t>
            </w:r>
            <w:r w:rsidR="00F85D88" w:rsidRPr="00C2523C">
              <w:rPr>
                <w:rFonts w:cstheme="minorHAnsi"/>
                <w:sz w:val="24"/>
                <w:szCs w:val="24"/>
              </w:rPr>
              <w:t xml:space="preserve"> </w:t>
            </w:r>
            <w:r w:rsidRPr="00C2523C">
              <w:rPr>
                <w:rFonts w:cstheme="minorHAnsi"/>
                <w:sz w:val="24"/>
                <w:szCs w:val="24"/>
              </w:rPr>
              <w:t>takiej wiadomości, czy jest to także jej forma – zauważyć bowiem należy, że zgodnie z ust. 6</w:t>
            </w:r>
            <w:r w:rsidR="00F85D88" w:rsidRPr="00C2523C">
              <w:rPr>
                <w:rFonts w:cstheme="minorHAnsi"/>
                <w:sz w:val="24"/>
                <w:szCs w:val="24"/>
              </w:rPr>
              <w:t xml:space="preserve"> </w:t>
            </w:r>
            <w:r w:rsidRPr="00C2523C">
              <w:rPr>
                <w:rFonts w:cstheme="minorHAnsi"/>
                <w:sz w:val="24"/>
                <w:szCs w:val="24"/>
              </w:rPr>
              <w:t>pkt 1 przedsiębiorca telekomunikacyjny obowiązany jest do blokowania krótkich wiadomości</w:t>
            </w:r>
            <w:r w:rsidR="00F85D88" w:rsidRPr="00C2523C">
              <w:rPr>
                <w:rFonts w:cstheme="minorHAnsi"/>
                <w:sz w:val="24"/>
                <w:szCs w:val="24"/>
              </w:rPr>
              <w:t xml:space="preserve"> </w:t>
            </w:r>
            <w:r w:rsidRPr="00C2523C">
              <w:rPr>
                <w:rFonts w:cstheme="minorHAnsi"/>
                <w:sz w:val="24"/>
                <w:szCs w:val="24"/>
              </w:rPr>
              <w:t>tekstowych zawierających treści zawarte we wzorcu, a nie zgodnie z wzorcem. We</w:t>
            </w:r>
            <w:r w:rsidR="00F85D88" w:rsidRPr="00C2523C">
              <w:rPr>
                <w:rFonts w:cstheme="minorHAnsi"/>
                <w:sz w:val="24"/>
                <w:szCs w:val="24"/>
              </w:rPr>
              <w:t xml:space="preserve"> </w:t>
            </w:r>
            <w:r w:rsidRPr="00C2523C">
              <w:rPr>
                <w:rFonts w:cstheme="minorHAnsi"/>
                <w:sz w:val="24"/>
                <w:szCs w:val="24"/>
              </w:rPr>
              <w:t>wskazanym zakresie przedmiotowy projekt wymaga uspójnienia pojęć,</w:t>
            </w:r>
          </w:p>
          <w:p w14:paraId="2BCB7BCA" w14:textId="5665C573"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lastRenderedPageBreak/>
              <w:t>- jaki charakter będą miały rozstrzygnięcia podejmowane przez CSIRT NASK</w:t>
            </w:r>
            <w:r w:rsidR="00F85D88" w:rsidRPr="00C2523C">
              <w:rPr>
                <w:rFonts w:cstheme="minorHAnsi"/>
                <w:sz w:val="24"/>
                <w:szCs w:val="24"/>
              </w:rPr>
              <w:t xml:space="preserve"> </w:t>
            </w:r>
            <w:r w:rsidRPr="00C2523C">
              <w:rPr>
                <w:rFonts w:cstheme="minorHAnsi"/>
                <w:sz w:val="24"/>
                <w:szCs w:val="24"/>
              </w:rPr>
              <w:t>dotyczące uznania, bądź nie uznania danej wiadomości za smishing, a niosące za sobą</w:t>
            </w:r>
            <w:r w:rsidR="00F85D88" w:rsidRPr="00C2523C">
              <w:rPr>
                <w:rFonts w:cstheme="minorHAnsi"/>
                <w:sz w:val="24"/>
                <w:szCs w:val="24"/>
              </w:rPr>
              <w:t xml:space="preserve"> </w:t>
            </w:r>
            <w:r w:rsidRPr="00C2523C">
              <w:rPr>
                <w:rFonts w:cstheme="minorHAnsi"/>
                <w:sz w:val="24"/>
                <w:szCs w:val="24"/>
              </w:rPr>
              <w:t>konsekwencje blokowania wysyłania danych (automatycznego). Zauważyć należy, że na</w:t>
            </w:r>
            <w:r w:rsidR="00F85D88" w:rsidRPr="00C2523C">
              <w:rPr>
                <w:rFonts w:cstheme="minorHAnsi"/>
                <w:sz w:val="24"/>
                <w:szCs w:val="24"/>
              </w:rPr>
              <w:t xml:space="preserve"> </w:t>
            </w:r>
            <w:r w:rsidRPr="00C2523C">
              <w:rPr>
                <w:rFonts w:cstheme="minorHAnsi"/>
                <w:sz w:val="24"/>
                <w:szCs w:val="24"/>
              </w:rPr>
              <w:t>skutek „decyzji” CSIRT NASK może zostać ograniczona możliwość prowadzenia</w:t>
            </w:r>
            <w:r w:rsidR="00F85D88" w:rsidRPr="00C2523C">
              <w:rPr>
                <w:rFonts w:cstheme="minorHAnsi"/>
                <w:sz w:val="24"/>
                <w:szCs w:val="24"/>
              </w:rPr>
              <w:t xml:space="preserve"> </w:t>
            </w:r>
            <w:r w:rsidRPr="00C2523C">
              <w:rPr>
                <w:rFonts w:cstheme="minorHAnsi"/>
                <w:sz w:val="24"/>
                <w:szCs w:val="24"/>
              </w:rPr>
              <w:t>działalności przez podmioty będące nadawcami takich wiadomości, a które, co wynika</w:t>
            </w:r>
            <w:r w:rsidR="00F85D88" w:rsidRPr="00C2523C">
              <w:rPr>
                <w:rFonts w:cstheme="minorHAnsi"/>
                <w:sz w:val="24"/>
                <w:szCs w:val="24"/>
              </w:rPr>
              <w:t xml:space="preserve"> </w:t>
            </w:r>
            <w:r w:rsidRPr="00C2523C">
              <w:rPr>
                <w:rFonts w:cstheme="minorHAnsi"/>
                <w:sz w:val="24"/>
                <w:szCs w:val="24"/>
              </w:rPr>
              <w:t>z projektowanych przepisów nie zostaną powiadomione o zgłoszeniu i „decyzji”</w:t>
            </w:r>
            <w:r w:rsidR="00F85D88" w:rsidRPr="00C2523C">
              <w:rPr>
                <w:rFonts w:cstheme="minorHAnsi"/>
                <w:sz w:val="24"/>
                <w:szCs w:val="24"/>
              </w:rPr>
              <w:t xml:space="preserve"> </w:t>
            </w:r>
            <w:r w:rsidRPr="00C2523C">
              <w:rPr>
                <w:rFonts w:cstheme="minorHAnsi"/>
                <w:sz w:val="24"/>
                <w:szCs w:val="24"/>
              </w:rPr>
              <w:t>o zablokowaniu przesyłanych przez nie wiadomości. Nie wiadomo także w jakich</w:t>
            </w:r>
            <w:r w:rsidR="00F85D88" w:rsidRPr="00C2523C">
              <w:rPr>
                <w:rFonts w:cstheme="minorHAnsi"/>
                <w:sz w:val="24"/>
                <w:szCs w:val="24"/>
              </w:rPr>
              <w:t xml:space="preserve"> </w:t>
            </w:r>
            <w:r w:rsidRPr="00C2523C">
              <w:rPr>
                <w:rFonts w:cstheme="minorHAnsi"/>
                <w:sz w:val="24"/>
                <w:szCs w:val="24"/>
              </w:rPr>
              <w:t>okolicznościach i w jakiej formie prowadzone będzie przez CSIRT NASK „postępowanie”</w:t>
            </w:r>
            <w:r w:rsidR="00F85D88" w:rsidRPr="00C2523C">
              <w:rPr>
                <w:rFonts w:cstheme="minorHAnsi"/>
                <w:sz w:val="24"/>
                <w:szCs w:val="24"/>
              </w:rPr>
              <w:t xml:space="preserve"> </w:t>
            </w:r>
            <w:r w:rsidRPr="00C2523C">
              <w:rPr>
                <w:rFonts w:cstheme="minorHAnsi"/>
                <w:sz w:val="24"/>
                <w:szCs w:val="24"/>
              </w:rPr>
              <w:t>w sprawie uznania, że zablokowana treść nie stanowi smishingu albo dalsze blokowanie tych</w:t>
            </w:r>
            <w:r w:rsidR="00F85D88" w:rsidRPr="00C2523C">
              <w:rPr>
                <w:rFonts w:cstheme="minorHAnsi"/>
                <w:sz w:val="24"/>
                <w:szCs w:val="24"/>
              </w:rPr>
              <w:t xml:space="preserve"> </w:t>
            </w:r>
            <w:r w:rsidRPr="00C2523C">
              <w:rPr>
                <w:rFonts w:cstheme="minorHAnsi"/>
                <w:sz w:val="24"/>
                <w:szCs w:val="24"/>
              </w:rPr>
              <w:t>wiadomości jest niecelowe. Nie wiadomo także jakie mają być przesłanki dla zamiany decyzji</w:t>
            </w:r>
            <w:r w:rsidR="00F85D88" w:rsidRPr="00C2523C">
              <w:rPr>
                <w:rFonts w:cstheme="minorHAnsi"/>
                <w:sz w:val="24"/>
                <w:szCs w:val="24"/>
              </w:rPr>
              <w:t xml:space="preserve"> </w:t>
            </w:r>
            <w:r w:rsidRPr="00C2523C">
              <w:rPr>
                <w:rFonts w:cstheme="minorHAnsi"/>
                <w:sz w:val="24"/>
                <w:szCs w:val="24"/>
              </w:rPr>
              <w:t>CSIRT NASK we wskazanym wcześniej zakresie wznowienia „postępowania”. Wydaje się,</w:t>
            </w:r>
            <w:r w:rsidR="00005E6F" w:rsidRPr="00C2523C">
              <w:rPr>
                <w:rFonts w:cstheme="minorHAnsi"/>
                <w:sz w:val="24"/>
                <w:szCs w:val="24"/>
              </w:rPr>
              <w:t xml:space="preserve"> </w:t>
            </w:r>
            <w:r w:rsidRPr="00C2523C">
              <w:rPr>
                <w:rFonts w:cstheme="minorHAnsi"/>
                <w:sz w:val="24"/>
                <w:szCs w:val="24"/>
              </w:rPr>
              <w:t>że w tej kwestii projekt wymaga odpowiedniego uzupełnienia,</w:t>
            </w:r>
          </w:p>
          <w:p w14:paraId="40B0009B" w14:textId="37794AAB"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w jaki sposób przedsiębiorcy telekomunikacyjni będą mieli zapewniony dostęp do</w:t>
            </w:r>
            <w:r w:rsidR="00F85D88" w:rsidRPr="00C2523C">
              <w:rPr>
                <w:rFonts w:cstheme="minorHAnsi"/>
                <w:sz w:val="24"/>
                <w:szCs w:val="24"/>
              </w:rPr>
              <w:t xml:space="preserve"> </w:t>
            </w:r>
            <w:r w:rsidRPr="00C2523C">
              <w:rPr>
                <w:rFonts w:cstheme="minorHAnsi"/>
                <w:sz w:val="24"/>
                <w:szCs w:val="24"/>
              </w:rPr>
              <w:t>systemu teleinformatycznego, o którym mowa w ust. 3,</w:t>
            </w:r>
          </w:p>
          <w:p w14:paraId="00BFEAD3" w14:textId="5F123229"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czy do systemu, o którym mowa w ust. 3, trafia tylko wzorzec wiadomości/treść</w:t>
            </w:r>
            <w:r w:rsidR="00F85D88" w:rsidRPr="00C2523C">
              <w:rPr>
                <w:rFonts w:cstheme="minorHAnsi"/>
                <w:sz w:val="24"/>
                <w:szCs w:val="24"/>
              </w:rPr>
              <w:t xml:space="preserve"> </w:t>
            </w:r>
            <w:r w:rsidRPr="00C2523C">
              <w:rPr>
                <w:rFonts w:cstheme="minorHAnsi"/>
                <w:sz w:val="24"/>
                <w:szCs w:val="24"/>
              </w:rPr>
              <w:t>zawarta we wzorcu, czy także informacje dotyczące np. numeru, z którego taka wiadomość</w:t>
            </w:r>
            <w:r w:rsidR="00F85D88" w:rsidRPr="00C2523C">
              <w:rPr>
                <w:rFonts w:cstheme="minorHAnsi"/>
                <w:sz w:val="24"/>
                <w:szCs w:val="24"/>
              </w:rPr>
              <w:t xml:space="preserve"> </w:t>
            </w:r>
            <w:r w:rsidRPr="00C2523C">
              <w:rPr>
                <w:rFonts w:cstheme="minorHAnsi"/>
                <w:sz w:val="24"/>
                <w:szCs w:val="24"/>
              </w:rPr>
              <w:t>jest nadawana, a konsekwentnie – czy blokowane, zgodnie z ust. 6 pkt 1, są wiadomości</w:t>
            </w:r>
            <w:r w:rsidR="00F85D88" w:rsidRPr="00C2523C">
              <w:rPr>
                <w:rFonts w:cstheme="minorHAnsi"/>
                <w:sz w:val="24"/>
                <w:szCs w:val="24"/>
              </w:rPr>
              <w:t xml:space="preserve"> </w:t>
            </w:r>
            <w:r w:rsidRPr="00C2523C">
              <w:rPr>
                <w:rFonts w:cstheme="minorHAnsi"/>
                <w:sz w:val="24"/>
                <w:szCs w:val="24"/>
              </w:rPr>
              <w:t>zawierające określoną treść wskazaną we wzorcu, czy także wiadomości wysyłane z danego</w:t>
            </w:r>
            <w:r w:rsidR="00F85D88" w:rsidRPr="00C2523C">
              <w:rPr>
                <w:rFonts w:cstheme="minorHAnsi"/>
                <w:sz w:val="24"/>
                <w:szCs w:val="24"/>
              </w:rPr>
              <w:t xml:space="preserve"> </w:t>
            </w:r>
            <w:r w:rsidRPr="00C2523C">
              <w:rPr>
                <w:rFonts w:cstheme="minorHAnsi"/>
                <w:sz w:val="24"/>
                <w:szCs w:val="24"/>
              </w:rPr>
              <w:t>numeru,</w:t>
            </w:r>
          </w:p>
          <w:p w14:paraId="1F4F88D5" w14:textId="0659581C"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 cel dla jakiego CSIRT NASK udostępnia na swojej stronie internetowej wzorzec</w:t>
            </w:r>
            <w:r w:rsidR="00F85D88" w:rsidRPr="00C2523C">
              <w:rPr>
                <w:rFonts w:cstheme="minorHAnsi"/>
                <w:sz w:val="24"/>
                <w:szCs w:val="24"/>
              </w:rPr>
              <w:t xml:space="preserve"> </w:t>
            </w:r>
            <w:r w:rsidRPr="00C2523C">
              <w:rPr>
                <w:rFonts w:cstheme="minorHAnsi"/>
                <w:sz w:val="24"/>
                <w:szCs w:val="24"/>
              </w:rPr>
              <w:t>wiadomości wyczerpującej znamiona smishingu. Jeżeli, jak się wydaje, zamieszczanie takiej</w:t>
            </w:r>
            <w:r w:rsidR="00F85D88" w:rsidRPr="00C2523C">
              <w:rPr>
                <w:rFonts w:cstheme="minorHAnsi"/>
                <w:sz w:val="24"/>
                <w:szCs w:val="24"/>
              </w:rPr>
              <w:t xml:space="preserve"> </w:t>
            </w:r>
            <w:r w:rsidRPr="00C2523C">
              <w:rPr>
                <w:rFonts w:cstheme="minorHAnsi"/>
                <w:sz w:val="24"/>
                <w:szCs w:val="24"/>
              </w:rPr>
              <w:t>informacji pełni funkcje informacyjne i ostrzegawcze dla użytkowników – wyjaśnienia</w:t>
            </w:r>
            <w:r w:rsidR="00F85D88" w:rsidRPr="00C2523C">
              <w:rPr>
                <w:rFonts w:cstheme="minorHAnsi"/>
                <w:sz w:val="24"/>
                <w:szCs w:val="24"/>
              </w:rPr>
              <w:t xml:space="preserve"> </w:t>
            </w:r>
            <w:r w:rsidRPr="00C2523C">
              <w:rPr>
                <w:rFonts w:cstheme="minorHAnsi"/>
                <w:sz w:val="24"/>
                <w:szCs w:val="24"/>
              </w:rPr>
              <w:t>wymaga długi 14, a nawet 21-dniowy termin na zamieszczenie takiego ostrzeżenia,</w:t>
            </w:r>
          </w:p>
          <w:p w14:paraId="78B81B63" w14:textId="350C0CBC" w:rsidR="00BF24F1" w:rsidRPr="00C2523C" w:rsidRDefault="00BF24F1" w:rsidP="00BD3E38">
            <w:pPr>
              <w:autoSpaceDE w:val="0"/>
              <w:autoSpaceDN w:val="0"/>
              <w:adjustRightInd w:val="0"/>
              <w:rPr>
                <w:rFonts w:cstheme="minorHAnsi"/>
                <w:sz w:val="24"/>
                <w:szCs w:val="24"/>
              </w:rPr>
            </w:pPr>
            <w:r w:rsidRPr="00C2523C">
              <w:rPr>
                <w:rFonts w:cstheme="minorHAnsi"/>
                <w:sz w:val="24"/>
                <w:szCs w:val="24"/>
              </w:rPr>
              <w:lastRenderedPageBreak/>
              <w:t>- czy o uznaniu wiadomości za wyczerpującą znamiona smishingu, a następnie</w:t>
            </w:r>
            <w:r w:rsidR="00F85D88" w:rsidRPr="00C2523C">
              <w:rPr>
                <w:rFonts w:cstheme="minorHAnsi"/>
                <w:sz w:val="24"/>
                <w:szCs w:val="24"/>
              </w:rPr>
              <w:t xml:space="preserve"> </w:t>
            </w:r>
            <w:r w:rsidRPr="00C2523C">
              <w:rPr>
                <w:rFonts w:cstheme="minorHAnsi"/>
                <w:sz w:val="24"/>
                <w:szCs w:val="24"/>
              </w:rPr>
              <w:t>przekazaniu tej informacji w systemie teleinformatycznym, o którym mowa w ust. 3, w celu</w:t>
            </w:r>
            <w:r w:rsidR="00F85D88" w:rsidRPr="00C2523C">
              <w:rPr>
                <w:rFonts w:cstheme="minorHAnsi"/>
                <w:sz w:val="24"/>
                <w:szCs w:val="24"/>
              </w:rPr>
              <w:t xml:space="preserve"> </w:t>
            </w:r>
            <w:r w:rsidRPr="00C2523C">
              <w:rPr>
                <w:rFonts w:cstheme="minorHAnsi"/>
                <w:sz w:val="24"/>
                <w:szCs w:val="24"/>
              </w:rPr>
              <w:t>blokowania tych wiadomości, CSIRT NASK informuje nadawcę tej wiadomości, tak aby miał</w:t>
            </w:r>
            <w:r w:rsidR="00F85D88" w:rsidRPr="00C2523C">
              <w:rPr>
                <w:rFonts w:cstheme="minorHAnsi"/>
                <w:sz w:val="24"/>
                <w:szCs w:val="24"/>
              </w:rPr>
              <w:t xml:space="preserve"> </w:t>
            </w:r>
            <w:r w:rsidRPr="00C2523C">
              <w:rPr>
                <w:rFonts w:cstheme="minorHAnsi"/>
                <w:sz w:val="24"/>
                <w:szCs w:val="24"/>
              </w:rPr>
              <w:t>możliwość niezwłocznego wniesienia sprzeciwu, o którym mowa w art. 5,</w:t>
            </w:r>
          </w:p>
        </w:tc>
        <w:tc>
          <w:tcPr>
            <w:tcW w:w="3509" w:type="dxa"/>
          </w:tcPr>
          <w:p w14:paraId="3CDF5840" w14:textId="77777777" w:rsidR="00F9657A" w:rsidRPr="00C2523C" w:rsidRDefault="00F9657A" w:rsidP="00277373">
            <w:pPr>
              <w:rPr>
                <w:rFonts w:cstheme="minorHAnsi"/>
                <w:b/>
                <w:sz w:val="24"/>
                <w:szCs w:val="24"/>
              </w:rPr>
            </w:pPr>
            <w:r w:rsidRPr="00C2523C">
              <w:rPr>
                <w:rFonts w:cstheme="minorHAnsi"/>
                <w:b/>
                <w:sz w:val="24"/>
                <w:szCs w:val="24"/>
              </w:rPr>
              <w:lastRenderedPageBreak/>
              <w:t>Uwaga wyjaśniona</w:t>
            </w:r>
          </w:p>
          <w:p w14:paraId="1882DCDD" w14:textId="4A96448E" w:rsidR="002C1D9D" w:rsidRPr="00C2523C" w:rsidRDefault="002C1D9D">
            <w:pPr>
              <w:rPr>
                <w:rFonts w:cstheme="minorHAnsi"/>
                <w:sz w:val="24"/>
                <w:szCs w:val="24"/>
              </w:rPr>
            </w:pPr>
            <w:r w:rsidRPr="00C2523C">
              <w:rPr>
                <w:rFonts w:cstheme="minorHAnsi"/>
                <w:sz w:val="24"/>
                <w:szCs w:val="24"/>
              </w:rPr>
              <w:t xml:space="preserve">Ze względu na ciągłe rozbudowanie możliwości co do zgłaszania incydentów, w tym </w:t>
            </w:r>
            <w:r w:rsidR="0023384C" w:rsidRPr="00C2523C">
              <w:rPr>
                <w:rFonts w:cstheme="minorHAnsi"/>
                <w:sz w:val="24"/>
                <w:szCs w:val="24"/>
              </w:rPr>
              <w:t xml:space="preserve">podejrzanych </w:t>
            </w:r>
            <w:r w:rsidRPr="00C2523C">
              <w:rPr>
                <w:rFonts w:cstheme="minorHAnsi"/>
                <w:sz w:val="24"/>
                <w:szCs w:val="24"/>
              </w:rPr>
              <w:t>sms’ów do CSIRT NASK, w celu dotarcia do ogółu społeczeństwa, nie jest zasadne przesądzanie (doregulowywanie) tych kwestii na poziomie ustawy. Aktualne sposoby zgłaszania zostaną uzupełnione w uzasadnieniu.</w:t>
            </w:r>
          </w:p>
          <w:p w14:paraId="72E6DF66" w14:textId="77777777" w:rsidR="00D50203" w:rsidRPr="00C2523C" w:rsidRDefault="00D50203">
            <w:pPr>
              <w:rPr>
                <w:rFonts w:cstheme="minorHAnsi"/>
                <w:sz w:val="24"/>
                <w:szCs w:val="24"/>
              </w:rPr>
            </w:pPr>
          </w:p>
          <w:p w14:paraId="1CFDFAB4" w14:textId="453F1542" w:rsidR="00EA0922" w:rsidRPr="00C2523C" w:rsidRDefault="002C1D9D" w:rsidP="00EA0922">
            <w:pPr>
              <w:autoSpaceDE w:val="0"/>
              <w:autoSpaceDN w:val="0"/>
              <w:adjustRightInd w:val="0"/>
              <w:rPr>
                <w:rFonts w:cstheme="minorHAnsi"/>
                <w:sz w:val="24"/>
                <w:szCs w:val="24"/>
              </w:rPr>
            </w:pPr>
            <w:r w:rsidRPr="00C2523C">
              <w:rPr>
                <w:rFonts w:cstheme="minorHAnsi"/>
                <w:sz w:val="24"/>
                <w:szCs w:val="24"/>
              </w:rPr>
              <w:t xml:space="preserve">Celem nie jest pozbawienie nikogo możliwości zgłaszania </w:t>
            </w:r>
            <w:r w:rsidR="0023384C" w:rsidRPr="00C2523C">
              <w:rPr>
                <w:rFonts w:cstheme="minorHAnsi"/>
                <w:sz w:val="24"/>
                <w:szCs w:val="24"/>
              </w:rPr>
              <w:t>podejrzanych</w:t>
            </w:r>
            <w:r w:rsidR="00EA0922" w:rsidRPr="00C2523C">
              <w:rPr>
                <w:rFonts w:cstheme="minorHAnsi"/>
                <w:sz w:val="24"/>
                <w:szCs w:val="24"/>
              </w:rPr>
              <w:t xml:space="preserve"> </w:t>
            </w:r>
            <w:r w:rsidRPr="00C2523C">
              <w:rPr>
                <w:rFonts w:cstheme="minorHAnsi"/>
                <w:sz w:val="24"/>
                <w:szCs w:val="24"/>
              </w:rPr>
              <w:t xml:space="preserve">wiadomości do CSIRT NASK, </w:t>
            </w:r>
            <w:r w:rsidR="00EA0922" w:rsidRPr="00C2523C">
              <w:rPr>
                <w:rFonts w:cstheme="minorHAnsi"/>
                <w:sz w:val="24"/>
                <w:szCs w:val="24"/>
              </w:rPr>
              <w:t>dlatego zapewnia się, że każdy kto otrzymał wiadomość tekstową co do której ma podejrzenie występowania smishingu może ją zgłosić do CSIRT NASK.</w:t>
            </w:r>
          </w:p>
          <w:p w14:paraId="2D34259D" w14:textId="70FBF390" w:rsidR="00005E6F" w:rsidRPr="00C2523C" w:rsidRDefault="00DD5823" w:rsidP="002F0E46">
            <w:pPr>
              <w:autoSpaceDE w:val="0"/>
              <w:autoSpaceDN w:val="0"/>
              <w:adjustRightInd w:val="0"/>
              <w:rPr>
                <w:rFonts w:cstheme="minorHAnsi"/>
                <w:sz w:val="24"/>
                <w:szCs w:val="24"/>
              </w:rPr>
            </w:pPr>
            <w:r w:rsidRPr="00C2523C">
              <w:rPr>
                <w:rFonts w:cstheme="minorHAnsi"/>
                <w:sz w:val="24"/>
                <w:szCs w:val="24"/>
              </w:rPr>
              <w:lastRenderedPageBreak/>
              <w:t>„Monitorowanie” ma takie znaczenie jak w języku powszechnym, prawnym i</w:t>
            </w:r>
            <w:r w:rsidR="0031593D" w:rsidRPr="00C2523C">
              <w:rPr>
                <w:rFonts w:cstheme="minorHAnsi"/>
                <w:sz w:val="24"/>
                <w:szCs w:val="24"/>
              </w:rPr>
              <w:t> </w:t>
            </w:r>
            <w:r w:rsidRPr="00C2523C">
              <w:rPr>
                <w:rFonts w:cstheme="minorHAnsi"/>
                <w:sz w:val="24"/>
                <w:szCs w:val="24"/>
              </w:rPr>
              <w:t xml:space="preserve">prawniczym. </w:t>
            </w:r>
          </w:p>
          <w:p w14:paraId="616CA85E" w14:textId="1E45C440" w:rsidR="000D6FD2" w:rsidRPr="00C2523C" w:rsidRDefault="00005E6F">
            <w:pPr>
              <w:rPr>
                <w:rFonts w:cstheme="minorHAnsi"/>
                <w:sz w:val="24"/>
                <w:szCs w:val="24"/>
              </w:rPr>
            </w:pPr>
            <w:r w:rsidRPr="00C2523C">
              <w:rPr>
                <w:rFonts w:cstheme="minorHAnsi"/>
                <w:sz w:val="24"/>
                <w:szCs w:val="24"/>
              </w:rPr>
              <w:t>Zamieszczenie na stronie internetowej wzorców wiadomości wyczerpującej znamiona smishingu ma na celu zapewnienie transparentności dz</w:t>
            </w:r>
            <w:r w:rsidR="00F36BB1" w:rsidRPr="00C2523C">
              <w:rPr>
                <w:rFonts w:cstheme="minorHAnsi"/>
                <w:sz w:val="24"/>
                <w:szCs w:val="24"/>
              </w:rPr>
              <w:t>iałania CSIRT NASK oraz funkcję informacyjną</w:t>
            </w:r>
            <w:r w:rsidRPr="00C2523C">
              <w:rPr>
                <w:rFonts w:cstheme="minorHAnsi"/>
                <w:sz w:val="24"/>
                <w:szCs w:val="24"/>
              </w:rPr>
              <w:t xml:space="preserve"> dla nadawców wiadomości o danym wzorze</w:t>
            </w:r>
            <w:r w:rsidR="000D6FD2" w:rsidRPr="00C2523C">
              <w:rPr>
                <w:rFonts w:cstheme="minorHAnsi"/>
                <w:sz w:val="24"/>
                <w:szCs w:val="24"/>
              </w:rPr>
              <w:t>, a</w:t>
            </w:r>
            <w:r w:rsidR="0031593D" w:rsidRPr="00C2523C">
              <w:rPr>
                <w:rFonts w:cstheme="minorHAnsi"/>
                <w:sz w:val="24"/>
                <w:szCs w:val="24"/>
              </w:rPr>
              <w:t> </w:t>
            </w:r>
            <w:r w:rsidR="000D6FD2" w:rsidRPr="00C2523C">
              <w:rPr>
                <w:rFonts w:cstheme="minorHAnsi"/>
                <w:sz w:val="24"/>
                <w:szCs w:val="24"/>
              </w:rPr>
              <w:t>także wspierają instytucję sprzeciwu</w:t>
            </w:r>
            <w:r w:rsidRPr="00C2523C">
              <w:rPr>
                <w:rFonts w:cstheme="minorHAnsi"/>
                <w:sz w:val="24"/>
                <w:szCs w:val="24"/>
              </w:rPr>
              <w:t>. Publikowanie wzorców nie pełni</w:t>
            </w:r>
            <w:r w:rsidR="000D6FD2" w:rsidRPr="00C2523C">
              <w:rPr>
                <w:rFonts w:cstheme="minorHAnsi"/>
                <w:sz w:val="24"/>
                <w:szCs w:val="24"/>
              </w:rPr>
              <w:t xml:space="preserve"> </w:t>
            </w:r>
            <w:r w:rsidRPr="00C2523C">
              <w:rPr>
                <w:rFonts w:cstheme="minorHAnsi"/>
                <w:sz w:val="24"/>
                <w:szCs w:val="24"/>
              </w:rPr>
              <w:t xml:space="preserve">funkcji ostrzegawczej dla użytkowników (wiadomości </w:t>
            </w:r>
            <w:r w:rsidR="00D50203" w:rsidRPr="00C2523C">
              <w:rPr>
                <w:rFonts w:cstheme="minorHAnsi"/>
                <w:sz w:val="24"/>
                <w:szCs w:val="24"/>
              </w:rPr>
              <w:t>zgodne ze</w:t>
            </w:r>
            <w:r w:rsidRPr="00C2523C">
              <w:rPr>
                <w:rFonts w:cstheme="minorHAnsi"/>
                <w:sz w:val="24"/>
                <w:szCs w:val="24"/>
              </w:rPr>
              <w:t xml:space="preserve"> wzorcem do nich nie trafiły i nie będą trafiać)</w:t>
            </w:r>
            <w:r w:rsidR="000D6FD2" w:rsidRPr="00C2523C">
              <w:rPr>
                <w:rFonts w:cstheme="minorHAnsi"/>
                <w:sz w:val="24"/>
                <w:szCs w:val="24"/>
              </w:rPr>
              <w:t>, w rozumieniu jaki wskazuje RCL.</w:t>
            </w:r>
          </w:p>
          <w:p w14:paraId="49FFAC5C" w14:textId="1D7C51C3" w:rsidR="00BF24F1" w:rsidRPr="00C2523C" w:rsidRDefault="00005E6F">
            <w:pPr>
              <w:rPr>
                <w:rFonts w:cstheme="minorHAnsi"/>
                <w:sz w:val="24"/>
                <w:szCs w:val="24"/>
              </w:rPr>
            </w:pPr>
            <w:r w:rsidRPr="00C2523C">
              <w:rPr>
                <w:rFonts w:cstheme="minorHAnsi"/>
                <w:sz w:val="24"/>
                <w:szCs w:val="24"/>
              </w:rPr>
              <w:t xml:space="preserve">Jednocześnie </w:t>
            </w:r>
            <w:r w:rsidR="000D6FD2" w:rsidRPr="00C2523C">
              <w:rPr>
                <w:rFonts w:cstheme="minorHAnsi"/>
                <w:sz w:val="24"/>
                <w:szCs w:val="24"/>
              </w:rPr>
              <w:t xml:space="preserve">natychmiastowa czy bardzo </w:t>
            </w:r>
            <w:r w:rsidRPr="00C2523C">
              <w:rPr>
                <w:rFonts w:cstheme="minorHAnsi"/>
                <w:sz w:val="24"/>
                <w:szCs w:val="24"/>
              </w:rPr>
              <w:t>szybka publikacja wzorców przez NASK powodowałaby natychmiastowe dostosowanie przez nadawców oszukańczych wiadomości (zmiana wzorca</w:t>
            </w:r>
            <w:r w:rsidR="00D50203" w:rsidRPr="00C2523C">
              <w:rPr>
                <w:rFonts w:cstheme="minorHAnsi"/>
                <w:sz w:val="24"/>
                <w:szCs w:val="24"/>
              </w:rPr>
              <w:t xml:space="preserve"> </w:t>
            </w:r>
            <w:r w:rsidR="000D6FD2" w:rsidRPr="00C2523C">
              <w:rPr>
                <w:rFonts w:cstheme="minorHAnsi"/>
                <w:sz w:val="24"/>
                <w:szCs w:val="24"/>
              </w:rPr>
              <w:t xml:space="preserve">smishingowego </w:t>
            </w:r>
            <w:r w:rsidR="00D50203" w:rsidRPr="00C2523C">
              <w:rPr>
                <w:rFonts w:cstheme="minorHAnsi"/>
                <w:sz w:val="24"/>
                <w:szCs w:val="24"/>
              </w:rPr>
              <w:t>przez nadawcę</w:t>
            </w:r>
            <w:r w:rsidRPr="00C2523C">
              <w:rPr>
                <w:rFonts w:cstheme="minorHAnsi"/>
                <w:sz w:val="24"/>
                <w:szCs w:val="24"/>
              </w:rPr>
              <w:t xml:space="preserve"> aby nie podlegał on blokowaniu).</w:t>
            </w:r>
          </w:p>
        </w:tc>
      </w:tr>
      <w:tr w:rsidR="00C2523C" w:rsidRPr="00C2523C" w14:paraId="0B7E8188" w14:textId="77777777" w:rsidTr="002F0E46">
        <w:tc>
          <w:tcPr>
            <w:tcW w:w="762" w:type="dxa"/>
            <w:gridSpan w:val="2"/>
          </w:tcPr>
          <w:p w14:paraId="7E110BF5" w14:textId="208400AE"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66" w:type="dxa"/>
          </w:tcPr>
          <w:p w14:paraId="6F04A0C6" w14:textId="69054DCE"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1F98C5FD" w14:textId="34B721D2" w:rsidR="00FD3498" w:rsidRPr="00C2523C" w:rsidRDefault="00FD3498" w:rsidP="00277373">
            <w:pPr>
              <w:rPr>
                <w:rFonts w:cstheme="minorHAnsi"/>
                <w:sz w:val="24"/>
                <w:szCs w:val="24"/>
              </w:rPr>
            </w:pPr>
            <w:r w:rsidRPr="00C2523C">
              <w:rPr>
                <w:rFonts w:cstheme="minorHAnsi"/>
                <w:sz w:val="24"/>
                <w:szCs w:val="24"/>
              </w:rPr>
              <w:t>Art. 4 ust. 3</w:t>
            </w:r>
          </w:p>
        </w:tc>
        <w:tc>
          <w:tcPr>
            <w:tcW w:w="7229" w:type="dxa"/>
          </w:tcPr>
          <w:p w14:paraId="2501567C" w14:textId="17402DAB" w:rsidR="00FD3498" w:rsidRPr="00C2523C" w:rsidRDefault="00FD3498" w:rsidP="00BD3E38">
            <w:pPr>
              <w:autoSpaceDE w:val="0"/>
              <w:autoSpaceDN w:val="0"/>
              <w:adjustRightInd w:val="0"/>
              <w:rPr>
                <w:rFonts w:cstheme="minorHAnsi"/>
                <w:sz w:val="24"/>
                <w:szCs w:val="24"/>
              </w:rPr>
            </w:pPr>
            <w:r w:rsidRPr="00C2523C">
              <w:rPr>
                <w:rFonts w:cstheme="minorHAnsi"/>
                <w:sz w:val="24"/>
                <w:szCs w:val="24"/>
              </w:rPr>
              <w:t xml:space="preserve">Ponadto w </w:t>
            </w:r>
            <w:r w:rsidRPr="00C2523C">
              <w:rPr>
                <w:rFonts w:cstheme="minorHAnsi"/>
                <w:bCs/>
                <w:sz w:val="24"/>
                <w:szCs w:val="24"/>
              </w:rPr>
              <w:t>art. 4 ust. 3</w:t>
            </w:r>
            <w:r w:rsidRPr="00C2523C">
              <w:rPr>
                <w:rFonts w:cstheme="minorHAnsi"/>
                <w:b/>
                <w:bCs/>
                <w:sz w:val="24"/>
                <w:szCs w:val="24"/>
              </w:rPr>
              <w:t xml:space="preserve"> </w:t>
            </w:r>
            <w:r w:rsidRPr="00C2523C">
              <w:rPr>
                <w:rFonts w:cstheme="minorHAnsi"/>
                <w:sz w:val="24"/>
                <w:szCs w:val="24"/>
              </w:rPr>
              <w:t>projektu został sformułowany obowiązek CSIRT NASK</w:t>
            </w:r>
            <w:r w:rsidR="00AB6C72" w:rsidRPr="00C2523C">
              <w:rPr>
                <w:rFonts w:cstheme="minorHAnsi"/>
                <w:sz w:val="24"/>
                <w:szCs w:val="24"/>
              </w:rPr>
              <w:t xml:space="preserve"> </w:t>
            </w:r>
            <w:r w:rsidRPr="00C2523C">
              <w:rPr>
                <w:rFonts w:cstheme="minorHAnsi"/>
                <w:sz w:val="24"/>
                <w:szCs w:val="24"/>
              </w:rPr>
              <w:t>przekazania za pośrednictwem systemu teleinformatycznego, m.in. Komendantowi Głównemu</w:t>
            </w:r>
            <w:r w:rsidR="00AB6C72" w:rsidRPr="00C2523C">
              <w:rPr>
                <w:rFonts w:cstheme="minorHAnsi"/>
                <w:sz w:val="24"/>
                <w:szCs w:val="24"/>
              </w:rPr>
              <w:t xml:space="preserve"> </w:t>
            </w:r>
            <w:r w:rsidRPr="00C2523C">
              <w:rPr>
                <w:rFonts w:cstheme="minorHAnsi"/>
                <w:sz w:val="24"/>
                <w:szCs w:val="24"/>
              </w:rPr>
              <w:t xml:space="preserve">Policji, informacji o wystąpieniu </w:t>
            </w:r>
            <w:r w:rsidRPr="00C2523C">
              <w:rPr>
                <w:rFonts w:cstheme="minorHAnsi"/>
                <w:i/>
                <w:iCs/>
                <w:sz w:val="24"/>
                <w:szCs w:val="24"/>
              </w:rPr>
              <w:t xml:space="preserve">smishingu </w:t>
            </w:r>
            <w:r w:rsidRPr="00C2523C">
              <w:rPr>
                <w:rFonts w:cstheme="minorHAnsi"/>
                <w:sz w:val="24"/>
                <w:szCs w:val="24"/>
              </w:rPr>
              <w:t>wraz z wzorcem wiadomości wyczerpującej jego</w:t>
            </w:r>
            <w:r w:rsidR="00AB6C72" w:rsidRPr="00C2523C">
              <w:rPr>
                <w:rFonts w:cstheme="minorHAnsi"/>
                <w:sz w:val="24"/>
                <w:szCs w:val="24"/>
              </w:rPr>
              <w:t xml:space="preserve"> </w:t>
            </w:r>
            <w:r w:rsidRPr="00C2523C">
              <w:rPr>
                <w:rFonts w:cstheme="minorHAnsi"/>
                <w:sz w:val="24"/>
                <w:szCs w:val="24"/>
              </w:rPr>
              <w:t>znamiona. Należy zauważyć, że będzie to automatycznie wiązało się z koniecznością wszczęcia</w:t>
            </w:r>
            <w:r w:rsidR="00AB6C72" w:rsidRPr="00C2523C">
              <w:rPr>
                <w:rFonts w:cstheme="minorHAnsi"/>
                <w:sz w:val="24"/>
                <w:szCs w:val="24"/>
              </w:rPr>
              <w:t xml:space="preserve"> </w:t>
            </w:r>
            <w:r w:rsidRPr="00C2523C">
              <w:rPr>
                <w:rFonts w:cstheme="minorHAnsi"/>
                <w:sz w:val="24"/>
                <w:szCs w:val="24"/>
              </w:rPr>
              <w:t>postępowania o czyn ścigany z urzędu. Mając na względzie ilość nazw domenowych</w:t>
            </w:r>
            <w:r w:rsidR="00AB6C72" w:rsidRPr="00C2523C">
              <w:rPr>
                <w:rFonts w:cstheme="minorHAnsi"/>
                <w:sz w:val="24"/>
                <w:szCs w:val="24"/>
              </w:rPr>
              <w:t xml:space="preserve"> </w:t>
            </w:r>
            <w:r w:rsidRPr="00C2523C">
              <w:rPr>
                <w:rFonts w:cstheme="minorHAnsi"/>
                <w:sz w:val="24"/>
                <w:szCs w:val="24"/>
              </w:rPr>
              <w:t>wpisywanych dziennie na listę ostrzeżeń, prowadzoną przez NASK, będzie to generowało</w:t>
            </w:r>
            <w:r w:rsidR="00AB6C72" w:rsidRPr="00C2523C">
              <w:rPr>
                <w:rFonts w:cstheme="minorHAnsi"/>
                <w:sz w:val="24"/>
                <w:szCs w:val="24"/>
              </w:rPr>
              <w:t xml:space="preserve"> </w:t>
            </w:r>
            <w:r w:rsidRPr="00C2523C">
              <w:rPr>
                <w:rFonts w:cstheme="minorHAnsi"/>
                <w:sz w:val="24"/>
                <w:szCs w:val="24"/>
              </w:rPr>
              <w:t>od kilkunastu do kilkudziesięciu nowych postępowań przygotowawczych dziennie.</w:t>
            </w:r>
            <w:r w:rsidR="000C710E" w:rsidRPr="00C2523C">
              <w:rPr>
                <w:rFonts w:cstheme="minorHAnsi"/>
                <w:sz w:val="24"/>
                <w:szCs w:val="24"/>
              </w:rPr>
              <w:tab/>
            </w:r>
          </w:p>
        </w:tc>
        <w:tc>
          <w:tcPr>
            <w:tcW w:w="3509" w:type="dxa"/>
          </w:tcPr>
          <w:p w14:paraId="334D2FF1" w14:textId="13BDDC52" w:rsidR="00AB6C72" w:rsidRPr="00C2523C" w:rsidRDefault="000C710E" w:rsidP="00277373">
            <w:pPr>
              <w:rPr>
                <w:rFonts w:cstheme="minorHAnsi"/>
                <w:b/>
                <w:sz w:val="24"/>
                <w:szCs w:val="24"/>
              </w:rPr>
            </w:pPr>
            <w:r w:rsidRPr="00C2523C">
              <w:rPr>
                <w:rFonts w:cstheme="minorHAnsi"/>
                <w:b/>
                <w:sz w:val="24"/>
                <w:szCs w:val="24"/>
              </w:rPr>
              <w:t>Uwaga w</w:t>
            </w:r>
            <w:r w:rsidR="00AB6C72" w:rsidRPr="00C2523C">
              <w:rPr>
                <w:rFonts w:cstheme="minorHAnsi"/>
                <w:b/>
                <w:sz w:val="24"/>
                <w:szCs w:val="24"/>
              </w:rPr>
              <w:t>yjaśni</w:t>
            </w:r>
            <w:r w:rsidRPr="00C2523C">
              <w:rPr>
                <w:rFonts w:cstheme="minorHAnsi"/>
                <w:b/>
                <w:sz w:val="24"/>
                <w:szCs w:val="24"/>
              </w:rPr>
              <w:t>ona</w:t>
            </w:r>
            <w:r w:rsidR="00AB6C72" w:rsidRPr="00C2523C">
              <w:rPr>
                <w:rFonts w:cstheme="minorHAnsi"/>
                <w:b/>
                <w:sz w:val="24"/>
                <w:szCs w:val="24"/>
              </w:rPr>
              <w:t xml:space="preserve"> </w:t>
            </w:r>
          </w:p>
          <w:p w14:paraId="1854E268" w14:textId="471F700E" w:rsidR="00FD3498" w:rsidRPr="00C2523C" w:rsidRDefault="00AB6C72" w:rsidP="00277373">
            <w:pPr>
              <w:rPr>
                <w:rFonts w:cstheme="minorHAnsi"/>
                <w:b/>
                <w:sz w:val="24"/>
                <w:szCs w:val="24"/>
              </w:rPr>
            </w:pPr>
            <w:r w:rsidRPr="00C2523C">
              <w:rPr>
                <w:rFonts w:cstheme="minorHAnsi"/>
                <w:sz w:val="24"/>
                <w:szCs w:val="24"/>
              </w:rPr>
              <w:t>Projektodawca zakłada, że dostęp do wiedzy o</w:t>
            </w:r>
            <w:r w:rsidR="0031593D" w:rsidRPr="00C2523C">
              <w:rPr>
                <w:rFonts w:cstheme="minorHAnsi"/>
                <w:sz w:val="24"/>
                <w:szCs w:val="24"/>
              </w:rPr>
              <w:t> </w:t>
            </w:r>
            <w:r w:rsidRPr="00C2523C">
              <w:rPr>
                <w:rFonts w:cstheme="minorHAnsi"/>
                <w:sz w:val="24"/>
                <w:szCs w:val="24"/>
              </w:rPr>
              <w:t>występowaniu smishingu pozwoli Policji (a w szczególności Centralnemu Biuru Zwalczania Cyberprzestępczości) na skuteczniejsze zwalczanie tego typu przestępstw. Część wiadomości może pochodzić od tych samych oszustów.</w:t>
            </w:r>
            <w:r w:rsidR="00A978D6" w:rsidRPr="00C2523C">
              <w:rPr>
                <w:rFonts w:cstheme="minorHAnsi"/>
                <w:sz w:val="24"/>
                <w:szCs w:val="24"/>
              </w:rPr>
              <w:t xml:space="preserve"> Należy podkreślić, że te czyny już dziś są penalizowane i powinny być zgłaszane w przypadku wykrycia zarówno przez użytkowników jak i przedsiębiorców.</w:t>
            </w:r>
          </w:p>
        </w:tc>
      </w:tr>
      <w:tr w:rsidR="00C2523C" w:rsidRPr="00C2523C" w14:paraId="62ED3998" w14:textId="77777777" w:rsidTr="002F0E46">
        <w:tc>
          <w:tcPr>
            <w:tcW w:w="762" w:type="dxa"/>
            <w:gridSpan w:val="2"/>
          </w:tcPr>
          <w:p w14:paraId="3B981FC0" w14:textId="77777777" w:rsidR="00627393" w:rsidRPr="00C2523C" w:rsidRDefault="00627393"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5606E117" w14:textId="031809A4" w:rsidR="00627393" w:rsidRPr="00C2523C" w:rsidRDefault="00627393" w:rsidP="00277373">
            <w:pPr>
              <w:rPr>
                <w:rFonts w:cstheme="minorHAnsi"/>
                <w:sz w:val="24"/>
                <w:szCs w:val="24"/>
              </w:rPr>
            </w:pPr>
            <w:r w:rsidRPr="00C2523C">
              <w:rPr>
                <w:rFonts w:cstheme="minorHAnsi"/>
                <w:sz w:val="24"/>
                <w:szCs w:val="24"/>
              </w:rPr>
              <w:t>MKSS</w:t>
            </w:r>
          </w:p>
        </w:tc>
        <w:tc>
          <w:tcPr>
            <w:tcW w:w="1328" w:type="dxa"/>
          </w:tcPr>
          <w:p w14:paraId="60F60F1D" w14:textId="6320C537" w:rsidR="00627393" w:rsidRPr="00C2523C" w:rsidRDefault="00627393" w:rsidP="00277373">
            <w:pPr>
              <w:rPr>
                <w:rFonts w:cstheme="minorHAnsi"/>
                <w:sz w:val="24"/>
                <w:szCs w:val="24"/>
              </w:rPr>
            </w:pPr>
            <w:r w:rsidRPr="00C2523C">
              <w:rPr>
                <w:rFonts w:cstheme="minorHAnsi"/>
                <w:sz w:val="24"/>
                <w:szCs w:val="24"/>
              </w:rPr>
              <w:t xml:space="preserve">Art. 4 ust. 4 </w:t>
            </w:r>
          </w:p>
        </w:tc>
        <w:tc>
          <w:tcPr>
            <w:tcW w:w="7229" w:type="dxa"/>
          </w:tcPr>
          <w:p w14:paraId="5AAEAA9E" w14:textId="13FA4439" w:rsidR="00627393" w:rsidRPr="00C2523C" w:rsidRDefault="00627393">
            <w:pPr>
              <w:autoSpaceDE w:val="0"/>
              <w:autoSpaceDN w:val="0"/>
              <w:adjustRightInd w:val="0"/>
              <w:rPr>
                <w:rFonts w:cstheme="minorHAnsi"/>
                <w:sz w:val="24"/>
                <w:szCs w:val="24"/>
              </w:rPr>
            </w:pPr>
            <w:r w:rsidRPr="00C2523C">
              <w:rPr>
                <w:rFonts w:ascii="Calibri" w:hAnsi="Calibri" w:cs="Calibri"/>
                <w:sz w:val="24"/>
                <w:szCs w:val="24"/>
              </w:rPr>
              <w:t xml:space="preserve">Należy także zauważyć, że w projektowanym art. 4 ust. 4 ustawy określono 14-dniowy termin (maksymalnie 21-dniowy), w jakim CSIRT NASK będzie zobowiązany upublicznić na swojej stronie internetowej wzorzec wiadomości wyczerpujący znamiona </w:t>
            </w:r>
            <w:r w:rsidRPr="00C2523C">
              <w:rPr>
                <w:rFonts w:ascii="Calibri" w:hAnsi="Calibri" w:cs="Calibri"/>
                <w:i/>
                <w:sz w:val="24"/>
                <w:szCs w:val="24"/>
              </w:rPr>
              <w:t>smishingu</w:t>
            </w:r>
            <w:r w:rsidRPr="00C2523C">
              <w:rPr>
                <w:rFonts w:ascii="Calibri" w:hAnsi="Calibri" w:cs="Calibri"/>
                <w:sz w:val="24"/>
                <w:szCs w:val="24"/>
              </w:rPr>
              <w:t xml:space="preserve">. Wzorce wiadomości ww. rodzaju powinny być przekazywane do publicznej informacji niezwłocznie, równolegle z informowaniem podmiotów wskazanych w projektowanym art. 4 ust. 3 ustawy. Charakter kampanii </w:t>
            </w:r>
            <w:r w:rsidRPr="00C2523C">
              <w:rPr>
                <w:rFonts w:ascii="Calibri" w:hAnsi="Calibri" w:cs="Calibri"/>
                <w:i/>
                <w:sz w:val="24"/>
                <w:szCs w:val="24"/>
              </w:rPr>
              <w:t>smishingowych</w:t>
            </w:r>
            <w:r w:rsidRPr="00C2523C">
              <w:rPr>
                <w:rFonts w:ascii="Calibri" w:hAnsi="Calibri" w:cs="Calibri"/>
                <w:sz w:val="24"/>
                <w:szCs w:val="24"/>
              </w:rPr>
              <w:t xml:space="preserve"> sprawia, iż często są one krótkotrwałe, a jednocześnie bardzo intensywne, przez co szczególnie 21-dniowy termin może się </w:t>
            </w:r>
            <w:r w:rsidRPr="00C2523C">
              <w:rPr>
                <w:rFonts w:ascii="Calibri" w:hAnsi="Calibri" w:cs="Calibri"/>
                <w:sz w:val="24"/>
                <w:szCs w:val="24"/>
              </w:rPr>
              <w:lastRenderedPageBreak/>
              <w:t>okazać niewystarczający do odpowiedniego uświadomienia społeczeństwa o zakresie występujących zagrożeń. W związku z powyższym proponuje się zastąpienie w projektowanym art. 4 ust. 4 ustawy zwrotu „w terminie 14 dni nie później jednak niż w terminie 21 dni wyrażeniem „niezwłocznie, nie później jednak niż w terminie 14 dni”</w:t>
            </w:r>
          </w:p>
        </w:tc>
        <w:tc>
          <w:tcPr>
            <w:tcW w:w="3509" w:type="dxa"/>
          </w:tcPr>
          <w:p w14:paraId="70A69421" w14:textId="463FA19A" w:rsidR="00627393" w:rsidRPr="00C2523C" w:rsidRDefault="00384BB8" w:rsidP="00277373">
            <w:pPr>
              <w:rPr>
                <w:rFonts w:cstheme="minorHAnsi"/>
                <w:b/>
                <w:sz w:val="24"/>
                <w:szCs w:val="24"/>
              </w:rPr>
            </w:pPr>
            <w:r w:rsidRPr="00C2523C">
              <w:rPr>
                <w:rFonts w:cstheme="minorHAnsi"/>
                <w:b/>
                <w:sz w:val="24"/>
                <w:szCs w:val="24"/>
              </w:rPr>
              <w:lastRenderedPageBreak/>
              <w:t>Uwaga wyjaśniona</w:t>
            </w:r>
            <w:r w:rsidR="00627393" w:rsidRPr="00C2523C">
              <w:rPr>
                <w:rFonts w:cstheme="minorHAnsi"/>
                <w:b/>
                <w:sz w:val="24"/>
                <w:szCs w:val="24"/>
              </w:rPr>
              <w:t xml:space="preserve"> </w:t>
            </w:r>
          </w:p>
          <w:p w14:paraId="74CFA4C1" w14:textId="7EE0A91F" w:rsidR="00627393" w:rsidRPr="00C2523C" w:rsidRDefault="00627393" w:rsidP="00627393">
            <w:pPr>
              <w:rPr>
                <w:rFonts w:cstheme="minorHAnsi"/>
                <w:sz w:val="24"/>
                <w:szCs w:val="24"/>
              </w:rPr>
            </w:pPr>
            <w:r w:rsidRPr="00C2523C">
              <w:rPr>
                <w:rFonts w:cstheme="minorHAnsi"/>
                <w:sz w:val="24"/>
                <w:szCs w:val="24"/>
              </w:rPr>
              <w:t>Opisany mechanizm</w:t>
            </w:r>
            <w:r w:rsidR="00BF72A3" w:rsidRPr="00C2523C">
              <w:rPr>
                <w:rFonts w:cstheme="minorHAnsi"/>
                <w:sz w:val="24"/>
                <w:szCs w:val="24"/>
              </w:rPr>
              <w:t xml:space="preserve"> </w:t>
            </w:r>
            <w:r w:rsidRPr="00C2523C">
              <w:rPr>
                <w:rFonts w:cstheme="minorHAnsi"/>
                <w:sz w:val="24"/>
                <w:szCs w:val="24"/>
              </w:rPr>
              <w:t>dotyczy publikacji wzorca dla wszystkich odbiorców, a nie jego przekazania do przedsiębiorców telekomunikacyjnych.</w:t>
            </w:r>
            <w:r w:rsidR="00BF72A3" w:rsidRPr="00C2523C">
              <w:rPr>
                <w:rFonts w:cstheme="minorHAnsi"/>
                <w:sz w:val="24"/>
                <w:szCs w:val="24"/>
              </w:rPr>
              <w:t xml:space="preserve"> </w:t>
            </w:r>
            <w:r w:rsidRPr="00C2523C">
              <w:rPr>
                <w:rFonts w:cstheme="minorHAnsi"/>
                <w:sz w:val="24"/>
                <w:szCs w:val="24"/>
              </w:rPr>
              <w:t xml:space="preserve">Przekazanie wzorca do przedsiębiorcy następuje niezwłocznie po jego </w:t>
            </w:r>
            <w:r w:rsidRPr="00C2523C">
              <w:rPr>
                <w:rFonts w:cstheme="minorHAnsi"/>
                <w:sz w:val="24"/>
                <w:szCs w:val="24"/>
              </w:rPr>
              <w:lastRenderedPageBreak/>
              <w:t>wytworzeniu przez CSIRT NASK.W związku z tym ochrona konsumentów będzie następować w najszybszym możliwym terminie. Dopiero później wzorzec będzie dostępny publicznie.</w:t>
            </w:r>
          </w:p>
          <w:p w14:paraId="79D45C7E" w14:textId="0BC50BBE" w:rsidR="00627393" w:rsidRPr="00C2523C" w:rsidRDefault="00627393" w:rsidP="00277373">
            <w:pPr>
              <w:rPr>
                <w:rFonts w:cstheme="minorHAnsi"/>
                <w:b/>
                <w:sz w:val="24"/>
                <w:szCs w:val="24"/>
              </w:rPr>
            </w:pPr>
            <w:r w:rsidRPr="00C2523C">
              <w:rPr>
                <w:rFonts w:cstheme="minorHAnsi"/>
                <w:bCs/>
                <w:sz w:val="24"/>
                <w:szCs w:val="24"/>
              </w:rPr>
              <w:t>Upublicznienie wzorca równocześnie z przesłaniem go do przedsiębiorców telekomunikacyjnych mogłoby pozwolić sprawcom przestępstw zmienić stosowane przez nich wiadomości i mogłoby to sprawić, że ustawa nie zrealizuje swojego celu.</w:t>
            </w:r>
          </w:p>
        </w:tc>
      </w:tr>
      <w:tr w:rsidR="00C2523C" w:rsidRPr="00C2523C" w14:paraId="111E64BF" w14:textId="77777777" w:rsidTr="002F0E46">
        <w:tc>
          <w:tcPr>
            <w:tcW w:w="762" w:type="dxa"/>
            <w:gridSpan w:val="2"/>
          </w:tcPr>
          <w:p w14:paraId="796B24C6" w14:textId="3334F99B"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1E6EAF80" w14:textId="495A0D34"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174F86D0" w14:textId="784F3A07" w:rsidR="00BF24F1" w:rsidRPr="00C2523C" w:rsidRDefault="00BF24F1" w:rsidP="00277373">
            <w:pPr>
              <w:rPr>
                <w:rFonts w:cstheme="minorHAnsi"/>
                <w:sz w:val="24"/>
                <w:szCs w:val="24"/>
              </w:rPr>
            </w:pPr>
            <w:r w:rsidRPr="00C2523C">
              <w:rPr>
                <w:rFonts w:cstheme="minorHAnsi"/>
                <w:sz w:val="24"/>
                <w:szCs w:val="24"/>
              </w:rPr>
              <w:t>Art. 4 ust. 5</w:t>
            </w:r>
          </w:p>
        </w:tc>
        <w:tc>
          <w:tcPr>
            <w:tcW w:w="7229" w:type="dxa"/>
          </w:tcPr>
          <w:p w14:paraId="60F38DB6" w14:textId="6ED272F4" w:rsidR="00BF24F1" w:rsidRPr="00C2523C" w:rsidRDefault="00BF24F1" w:rsidP="00BD3E38">
            <w:pPr>
              <w:autoSpaceDE w:val="0"/>
              <w:autoSpaceDN w:val="0"/>
              <w:adjustRightInd w:val="0"/>
              <w:rPr>
                <w:rFonts w:cstheme="minorHAnsi"/>
                <w:sz w:val="24"/>
                <w:szCs w:val="24"/>
              </w:rPr>
            </w:pPr>
            <w:r w:rsidRPr="00C2523C">
              <w:rPr>
                <w:rFonts w:cstheme="minorHAnsi"/>
                <w:sz w:val="24"/>
                <w:szCs w:val="24"/>
              </w:rPr>
              <w:t>d) mając na uwadze, że CSIRT NASK zgodnie z przepisem ust. 5 może uznać, że treść</w:t>
            </w:r>
            <w:r w:rsidR="00F85D88" w:rsidRPr="00C2523C">
              <w:rPr>
                <w:rFonts w:cstheme="minorHAnsi"/>
                <w:sz w:val="24"/>
                <w:szCs w:val="24"/>
              </w:rPr>
              <w:t xml:space="preserve"> </w:t>
            </w:r>
            <w:r w:rsidRPr="00C2523C">
              <w:rPr>
                <w:rFonts w:cstheme="minorHAnsi"/>
                <w:sz w:val="24"/>
                <w:szCs w:val="24"/>
              </w:rPr>
              <w:t>zawarta we wzorcu wiadomości nie stanowi smishingu proponuje się rozważenie</w:t>
            </w:r>
            <w:r w:rsidR="00F85D88" w:rsidRPr="00C2523C">
              <w:rPr>
                <w:rFonts w:cstheme="minorHAnsi"/>
                <w:sz w:val="24"/>
                <w:szCs w:val="24"/>
              </w:rPr>
              <w:t xml:space="preserve"> </w:t>
            </w:r>
            <w:r w:rsidRPr="00C2523C">
              <w:rPr>
                <w:rFonts w:cstheme="minorHAnsi"/>
                <w:sz w:val="24"/>
                <w:szCs w:val="24"/>
              </w:rPr>
              <w:t>uzupełnienia przepisu ust. 3 o wskazanie, że chodzi o informację o podejrzeniu wystąpienia</w:t>
            </w:r>
            <w:r w:rsidR="00F85D88" w:rsidRPr="00C2523C">
              <w:rPr>
                <w:rFonts w:cstheme="minorHAnsi"/>
                <w:sz w:val="24"/>
                <w:szCs w:val="24"/>
              </w:rPr>
              <w:t xml:space="preserve"> </w:t>
            </w:r>
            <w:r w:rsidRPr="00C2523C">
              <w:rPr>
                <w:rFonts w:cstheme="minorHAnsi"/>
                <w:sz w:val="24"/>
                <w:szCs w:val="24"/>
              </w:rPr>
              <w:t>smishingu. Powyższe wskazuje jednak na dodatkowy problem – czy na podstawie jedynie</w:t>
            </w:r>
            <w:r w:rsidR="00F85D88" w:rsidRPr="00C2523C">
              <w:rPr>
                <w:rFonts w:cstheme="minorHAnsi"/>
                <w:sz w:val="24"/>
                <w:szCs w:val="24"/>
              </w:rPr>
              <w:t xml:space="preserve"> </w:t>
            </w:r>
            <w:r w:rsidRPr="00C2523C">
              <w:rPr>
                <w:rFonts w:cstheme="minorHAnsi"/>
                <w:sz w:val="24"/>
                <w:szCs w:val="24"/>
              </w:rPr>
              <w:t>tylko podejrzenia, że wiadomość wyczerpuje znamiona smishingu, CSIRT NASK powinien</w:t>
            </w:r>
            <w:r w:rsidR="00F85D88" w:rsidRPr="00C2523C">
              <w:rPr>
                <w:rFonts w:cstheme="minorHAnsi"/>
                <w:sz w:val="24"/>
                <w:szCs w:val="24"/>
              </w:rPr>
              <w:t xml:space="preserve"> </w:t>
            </w:r>
            <w:r w:rsidRPr="00C2523C">
              <w:rPr>
                <w:rFonts w:cstheme="minorHAnsi"/>
                <w:sz w:val="24"/>
                <w:szCs w:val="24"/>
              </w:rPr>
              <w:t>informować o tym przedsiębiorców telekomunikacyjnych i powodować tym samym</w:t>
            </w:r>
            <w:r w:rsidR="00F85D88" w:rsidRPr="00C2523C">
              <w:rPr>
                <w:rFonts w:cstheme="minorHAnsi"/>
                <w:sz w:val="24"/>
                <w:szCs w:val="24"/>
              </w:rPr>
              <w:t xml:space="preserve"> </w:t>
            </w:r>
            <w:r w:rsidRPr="00C2523C">
              <w:rPr>
                <w:rFonts w:cstheme="minorHAnsi"/>
                <w:sz w:val="24"/>
                <w:szCs w:val="24"/>
              </w:rPr>
              <w:t>natychmiastowe zablokowanie wysyłania wiadomości? Z projektowanych przepisów wynika</w:t>
            </w:r>
            <w:r w:rsidR="00F85D88" w:rsidRPr="00C2523C">
              <w:rPr>
                <w:rFonts w:cstheme="minorHAnsi"/>
                <w:sz w:val="24"/>
                <w:szCs w:val="24"/>
              </w:rPr>
              <w:t xml:space="preserve"> </w:t>
            </w:r>
            <w:r w:rsidRPr="00C2523C">
              <w:rPr>
                <w:rFonts w:cstheme="minorHAnsi"/>
                <w:sz w:val="24"/>
                <w:szCs w:val="24"/>
              </w:rPr>
              <w:t>bowiem, że CSIRT NASK może w dowolnym terminie zmienić kwalifikację danej</w:t>
            </w:r>
            <w:r w:rsidR="00F85D88" w:rsidRPr="00C2523C">
              <w:rPr>
                <w:rFonts w:cstheme="minorHAnsi"/>
                <w:sz w:val="24"/>
                <w:szCs w:val="24"/>
              </w:rPr>
              <w:t xml:space="preserve"> </w:t>
            </w:r>
            <w:r w:rsidRPr="00C2523C">
              <w:rPr>
                <w:rFonts w:cstheme="minorHAnsi"/>
                <w:sz w:val="24"/>
                <w:szCs w:val="24"/>
              </w:rPr>
              <w:t>wiadomości, uznanej uprzednio za smishing, umożliwiając nadawcy jej dalsze rozsyłanie</w:t>
            </w:r>
            <w:r w:rsidR="00F85D88" w:rsidRPr="00C2523C">
              <w:rPr>
                <w:rFonts w:cstheme="minorHAnsi"/>
                <w:sz w:val="24"/>
                <w:szCs w:val="24"/>
              </w:rPr>
              <w:t xml:space="preserve"> </w:t>
            </w:r>
            <w:r w:rsidRPr="00C2523C">
              <w:rPr>
                <w:rFonts w:cstheme="minorHAnsi"/>
                <w:sz w:val="24"/>
                <w:szCs w:val="24"/>
              </w:rPr>
              <w:t>(o tym fakcie, jak wynika z projektu, także nie informuje nadawcy). W powyższym zakresie</w:t>
            </w:r>
            <w:r w:rsidR="00F85D88" w:rsidRPr="00C2523C">
              <w:rPr>
                <w:rFonts w:cstheme="minorHAnsi"/>
                <w:sz w:val="24"/>
                <w:szCs w:val="24"/>
              </w:rPr>
              <w:t xml:space="preserve"> </w:t>
            </w:r>
            <w:r w:rsidRPr="00C2523C">
              <w:rPr>
                <w:rFonts w:cstheme="minorHAnsi"/>
                <w:sz w:val="24"/>
                <w:szCs w:val="24"/>
              </w:rPr>
              <w:t xml:space="preserve">proponuje się ponowne przeanalizowanie projektowanej regulacji pod </w:t>
            </w:r>
            <w:r w:rsidRPr="00C2523C">
              <w:rPr>
                <w:rFonts w:cstheme="minorHAnsi"/>
                <w:sz w:val="24"/>
                <w:szCs w:val="24"/>
              </w:rPr>
              <w:lastRenderedPageBreak/>
              <w:t>kątem doprecyzowania,</w:t>
            </w:r>
            <w:r w:rsidR="00F85D88" w:rsidRPr="00C2523C">
              <w:rPr>
                <w:rFonts w:cstheme="minorHAnsi"/>
                <w:sz w:val="24"/>
                <w:szCs w:val="24"/>
              </w:rPr>
              <w:t xml:space="preserve"> </w:t>
            </w:r>
            <w:r w:rsidRPr="00C2523C">
              <w:rPr>
                <w:rFonts w:cstheme="minorHAnsi"/>
                <w:sz w:val="24"/>
                <w:szCs w:val="24"/>
              </w:rPr>
              <w:t>kiedy i na podstawie jakich przesłanek CSIRT NASK podejmuje decyzję o zablokowaniu</w:t>
            </w:r>
            <w:r w:rsidR="00F85D88" w:rsidRPr="00C2523C">
              <w:rPr>
                <w:rFonts w:cstheme="minorHAnsi"/>
                <w:sz w:val="24"/>
                <w:szCs w:val="24"/>
              </w:rPr>
              <w:t xml:space="preserve"> </w:t>
            </w:r>
            <w:r w:rsidRPr="00C2523C">
              <w:rPr>
                <w:rFonts w:cstheme="minorHAnsi"/>
                <w:sz w:val="24"/>
                <w:szCs w:val="24"/>
              </w:rPr>
              <w:t>wiadomości, bądź ich odblokowaniu,</w:t>
            </w:r>
          </w:p>
        </w:tc>
        <w:tc>
          <w:tcPr>
            <w:tcW w:w="3509" w:type="dxa"/>
          </w:tcPr>
          <w:p w14:paraId="302B4C39" w14:textId="77777777" w:rsidR="00F36BB1" w:rsidRPr="00C2523C" w:rsidRDefault="00F36BB1" w:rsidP="00277373">
            <w:pPr>
              <w:rPr>
                <w:rFonts w:cstheme="minorHAnsi"/>
                <w:b/>
                <w:sz w:val="24"/>
                <w:szCs w:val="24"/>
              </w:rPr>
            </w:pPr>
            <w:r w:rsidRPr="00C2523C">
              <w:rPr>
                <w:rFonts w:cstheme="minorHAnsi"/>
                <w:b/>
                <w:sz w:val="24"/>
                <w:szCs w:val="24"/>
              </w:rPr>
              <w:lastRenderedPageBreak/>
              <w:t>Uwaga wyjaśniona</w:t>
            </w:r>
          </w:p>
          <w:p w14:paraId="4FDFE6ED" w14:textId="2E21E127" w:rsidR="00EF2837" w:rsidRPr="00C2523C" w:rsidRDefault="00F36BB1">
            <w:pPr>
              <w:rPr>
                <w:rFonts w:cstheme="minorHAnsi"/>
                <w:sz w:val="24"/>
                <w:szCs w:val="24"/>
              </w:rPr>
            </w:pPr>
            <w:r w:rsidRPr="00C2523C">
              <w:rPr>
                <w:rFonts w:cstheme="minorHAnsi"/>
                <w:sz w:val="24"/>
                <w:szCs w:val="24"/>
              </w:rPr>
              <w:t>To CSIRT NASK ma dokonywać merytorycznej kwalifikacji niezbędnej do późniejszego blokowania wiadomości, nie jest więc zasadne, aby przekazywał informacje „o podejrzeniu wystąpienia smishingu”</w:t>
            </w:r>
            <w:r w:rsidR="00EF2837" w:rsidRPr="00C2523C">
              <w:rPr>
                <w:rFonts w:cstheme="minorHAnsi"/>
                <w:sz w:val="24"/>
                <w:szCs w:val="24"/>
              </w:rPr>
              <w:t xml:space="preserve"> i to bez dookreślenia skutków z jakimi wiązałoby się przekazanie samego „podejrzenia”. Dlatego rozwiązanie zaproponowane przez RCL jest w ocenie projektodawcy niewłaściwe.</w:t>
            </w:r>
          </w:p>
          <w:p w14:paraId="7A906923" w14:textId="00B9A774" w:rsidR="00BF24F1" w:rsidRPr="00C2523C" w:rsidRDefault="00F36BB1" w:rsidP="00081F73">
            <w:pPr>
              <w:rPr>
                <w:rFonts w:cstheme="minorHAnsi"/>
                <w:sz w:val="24"/>
                <w:szCs w:val="24"/>
              </w:rPr>
            </w:pPr>
            <w:r w:rsidRPr="00C2523C">
              <w:rPr>
                <w:rFonts w:cstheme="minorHAnsi"/>
                <w:sz w:val="24"/>
                <w:szCs w:val="24"/>
              </w:rPr>
              <w:lastRenderedPageBreak/>
              <w:t>S</w:t>
            </w:r>
            <w:r w:rsidR="00EF2837" w:rsidRPr="00C2523C">
              <w:rPr>
                <w:rFonts w:cstheme="minorHAnsi"/>
                <w:sz w:val="24"/>
                <w:szCs w:val="24"/>
              </w:rPr>
              <w:t>mishing jest zdefiniowany i przesłanki kwalifikacji są dostatecznie doprecyzowane (dotyczy to sytuacji gdy nadawca podszywa się pod inny podmiot w celu nakłonienia odbiorcy tej wiadomości do określonego działania, w szczególności przekazania danych osobowych, nieświadomego rozporządzenia majątkiem, przekierowania na stronę internetową, żądania kontaktu telefonicznego lub instalacji oprogramowania).</w:t>
            </w:r>
            <w:r w:rsidR="00EF2837" w:rsidRPr="00C2523C">
              <w:rPr>
                <w:rFonts w:cstheme="minorHAnsi"/>
                <w:sz w:val="24"/>
                <w:szCs w:val="24"/>
              </w:rPr>
              <w:br/>
              <w:t xml:space="preserve">Możliwa jest zmiana kwalifikacji w trybie swoistej samokontroli. </w:t>
            </w:r>
            <w:r w:rsidR="000D6FD2" w:rsidRPr="00C2523C">
              <w:rPr>
                <w:rFonts w:cstheme="minorHAnsi"/>
                <w:sz w:val="24"/>
                <w:szCs w:val="24"/>
              </w:rPr>
              <w:br/>
            </w:r>
            <w:r w:rsidR="00EF2837" w:rsidRPr="00C2523C">
              <w:rPr>
                <w:rFonts w:cstheme="minorHAnsi"/>
                <w:sz w:val="24"/>
                <w:szCs w:val="24"/>
              </w:rPr>
              <w:t>Niemniej</w:t>
            </w:r>
            <w:r w:rsidR="00081F73" w:rsidRPr="00C2523C">
              <w:rPr>
                <w:rFonts w:cstheme="minorHAnsi"/>
                <w:sz w:val="24"/>
                <w:szCs w:val="24"/>
              </w:rPr>
              <w:t>,</w:t>
            </w:r>
            <w:r w:rsidR="00EF2837" w:rsidRPr="00C2523C">
              <w:rPr>
                <w:rFonts w:cstheme="minorHAnsi"/>
                <w:sz w:val="24"/>
                <w:szCs w:val="24"/>
              </w:rPr>
              <w:t xml:space="preserve"> ponowna analiza zagadnień wskazanych przez RCL, wskazuje, że należy przesądzić, co dzieje się z </w:t>
            </w:r>
            <w:r w:rsidR="0012541B" w:rsidRPr="00C2523C">
              <w:rPr>
                <w:rFonts w:cstheme="minorHAnsi"/>
                <w:sz w:val="24"/>
                <w:szCs w:val="24"/>
              </w:rPr>
              <w:t xml:space="preserve">udostępnionymi na stronie wzorcami, w sytuacji, </w:t>
            </w:r>
            <w:r w:rsidR="00081F73" w:rsidRPr="00C2523C">
              <w:rPr>
                <w:rFonts w:cstheme="minorHAnsi"/>
                <w:sz w:val="24"/>
                <w:szCs w:val="24"/>
              </w:rPr>
              <w:t>gdy wiadomość (wzorzec)</w:t>
            </w:r>
            <w:r w:rsidR="0012541B" w:rsidRPr="00C2523C">
              <w:rPr>
                <w:rFonts w:cstheme="minorHAnsi"/>
                <w:sz w:val="24"/>
                <w:szCs w:val="24"/>
              </w:rPr>
              <w:t xml:space="preserve"> jednak nie nosi znamion smishingu lub niecelowe jest dalsze blokowanie wg tego wzorca.</w:t>
            </w:r>
            <w:r w:rsidR="00A978D6" w:rsidRPr="00C2523C">
              <w:rPr>
                <w:rFonts w:cstheme="minorHAnsi"/>
                <w:sz w:val="24"/>
                <w:szCs w:val="24"/>
              </w:rPr>
              <w:t xml:space="preserve"> </w:t>
            </w:r>
          </w:p>
        </w:tc>
      </w:tr>
      <w:tr w:rsidR="00C2523C" w:rsidRPr="00C2523C" w14:paraId="7293097F" w14:textId="77777777" w:rsidTr="002F0E46">
        <w:tc>
          <w:tcPr>
            <w:tcW w:w="762" w:type="dxa"/>
            <w:gridSpan w:val="2"/>
          </w:tcPr>
          <w:p w14:paraId="072153AD" w14:textId="0817E0B5"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2493D350" w14:textId="52E3F7A7"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561E7822" w14:textId="6D905DA4" w:rsidR="00BF24F1" w:rsidRPr="00C2523C" w:rsidRDefault="00BF24F1" w:rsidP="00277373">
            <w:pPr>
              <w:rPr>
                <w:rFonts w:cstheme="minorHAnsi"/>
                <w:sz w:val="24"/>
                <w:szCs w:val="24"/>
              </w:rPr>
            </w:pPr>
            <w:r w:rsidRPr="00C2523C">
              <w:rPr>
                <w:rFonts w:cstheme="minorHAnsi"/>
                <w:sz w:val="24"/>
                <w:szCs w:val="24"/>
              </w:rPr>
              <w:t>Art. 4 ust. 6 pkt 2</w:t>
            </w:r>
          </w:p>
        </w:tc>
        <w:tc>
          <w:tcPr>
            <w:tcW w:w="7229" w:type="dxa"/>
          </w:tcPr>
          <w:p w14:paraId="69F3828C" w14:textId="06C7E636" w:rsidR="00BF24F1" w:rsidRPr="00C2523C" w:rsidRDefault="00BF24F1" w:rsidP="00BD3E38">
            <w:pPr>
              <w:autoSpaceDE w:val="0"/>
              <w:autoSpaceDN w:val="0"/>
              <w:adjustRightInd w:val="0"/>
              <w:rPr>
                <w:rFonts w:cstheme="minorHAnsi"/>
                <w:sz w:val="24"/>
                <w:szCs w:val="24"/>
              </w:rPr>
            </w:pPr>
            <w:r w:rsidRPr="00C2523C">
              <w:rPr>
                <w:rFonts w:cstheme="minorHAnsi"/>
                <w:sz w:val="24"/>
                <w:szCs w:val="24"/>
              </w:rPr>
              <w:t>e) w przypadku ust. 6 pkt 2 proponuje się doprecyzowanie obowiązku zaprzestania</w:t>
            </w:r>
            <w:r w:rsidR="006A3FA5" w:rsidRPr="00C2523C">
              <w:rPr>
                <w:rFonts w:cstheme="minorHAnsi"/>
                <w:sz w:val="24"/>
                <w:szCs w:val="24"/>
              </w:rPr>
              <w:t xml:space="preserve"> </w:t>
            </w:r>
            <w:r w:rsidRPr="00C2523C">
              <w:rPr>
                <w:rFonts w:cstheme="minorHAnsi"/>
                <w:sz w:val="24"/>
                <w:szCs w:val="24"/>
              </w:rPr>
              <w:t>blokowania wiadomości tekstowych przez wskazanie, że przedsiębiorca telekomunikacyjny</w:t>
            </w:r>
            <w:r w:rsidR="006A3FA5" w:rsidRPr="00C2523C">
              <w:rPr>
                <w:rFonts w:cstheme="minorHAnsi"/>
                <w:sz w:val="24"/>
                <w:szCs w:val="24"/>
              </w:rPr>
              <w:t xml:space="preserve"> </w:t>
            </w:r>
            <w:r w:rsidRPr="00C2523C">
              <w:rPr>
                <w:rFonts w:cstheme="minorHAnsi"/>
                <w:sz w:val="24"/>
                <w:szCs w:val="24"/>
              </w:rPr>
              <w:t>również ten obowiązek wykonuje niezwłocznie;</w:t>
            </w:r>
          </w:p>
        </w:tc>
        <w:tc>
          <w:tcPr>
            <w:tcW w:w="3509" w:type="dxa"/>
          </w:tcPr>
          <w:p w14:paraId="3DE418AA" w14:textId="329C532C" w:rsidR="00BF24F1" w:rsidRPr="00C2523C" w:rsidRDefault="00DE5070" w:rsidP="00277373">
            <w:pPr>
              <w:rPr>
                <w:rFonts w:cstheme="minorHAnsi"/>
                <w:b/>
                <w:sz w:val="24"/>
                <w:szCs w:val="24"/>
              </w:rPr>
            </w:pPr>
            <w:r w:rsidRPr="00C2523C">
              <w:rPr>
                <w:rFonts w:cstheme="minorHAnsi"/>
                <w:b/>
                <w:sz w:val="24"/>
                <w:szCs w:val="24"/>
              </w:rPr>
              <w:t>Uwaga uwzględniona</w:t>
            </w:r>
          </w:p>
        </w:tc>
      </w:tr>
      <w:tr w:rsidR="00C2523C" w:rsidRPr="00C2523C" w14:paraId="1F57AD6F" w14:textId="77777777" w:rsidTr="002F0E46">
        <w:tc>
          <w:tcPr>
            <w:tcW w:w="762" w:type="dxa"/>
            <w:gridSpan w:val="2"/>
          </w:tcPr>
          <w:p w14:paraId="176A5E4B" w14:textId="77777777"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66" w:type="dxa"/>
          </w:tcPr>
          <w:p w14:paraId="66B02D33" w14:textId="70237D95" w:rsidR="00BF24F1" w:rsidRPr="00C2523C" w:rsidRDefault="00BF24F1" w:rsidP="00277373">
            <w:pPr>
              <w:rPr>
                <w:rFonts w:cstheme="minorHAnsi"/>
                <w:sz w:val="24"/>
                <w:szCs w:val="24"/>
              </w:rPr>
            </w:pPr>
            <w:r w:rsidRPr="00C2523C">
              <w:rPr>
                <w:rFonts w:cstheme="minorHAnsi"/>
                <w:sz w:val="24"/>
                <w:szCs w:val="24"/>
              </w:rPr>
              <w:t xml:space="preserve">RCL </w:t>
            </w:r>
          </w:p>
        </w:tc>
        <w:tc>
          <w:tcPr>
            <w:tcW w:w="1328" w:type="dxa"/>
          </w:tcPr>
          <w:p w14:paraId="0FC2E216" w14:textId="0741A846" w:rsidR="00BF24F1" w:rsidRPr="00C2523C" w:rsidRDefault="00BF24F1" w:rsidP="00277373">
            <w:pPr>
              <w:rPr>
                <w:rFonts w:cstheme="minorHAnsi"/>
                <w:sz w:val="24"/>
                <w:szCs w:val="24"/>
              </w:rPr>
            </w:pPr>
            <w:r w:rsidRPr="00C2523C">
              <w:rPr>
                <w:rFonts w:cstheme="minorHAnsi"/>
                <w:sz w:val="24"/>
                <w:szCs w:val="24"/>
              </w:rPr>
              <w:t>Art. 5 ust. 2-4</w:t>
            </w:r>
          </w:p>
        </w:tc>
        <w:tc>
          <w:tcPr>
            <w:tcW w:w="7229" w:type="dxa"/>
          </w:tcPr>
          <w:p w14:paraId="42681054" w14:textId="6D59BB5E" w:rsidR="00BF24F1" w:rsidRPr="00C2523C" w:rsidRDefault="00BF24F1" w:rsidP="00BD3E38">
            <w:pPr>
              <w:autoSpaceDE w:val="0"/>
              <w:autoSpaceDN w:val="0"/>
              <w:adjustRightInd w:val="0"/>
              <w:rPr>
                <w:rFonts w:cstheme="minorHAnsi"/>
                <w:sz w:val="24"/>
                <w:szCs w:val="24"/>
              </w:rPr>
            </w:pPr>
            <w:r w:rsidRPr="00C2523C">
              <w:rPr>
                <w:rFonts w:cstheme="minorHAnsi"/>
                <w:sz w:val="24"/>
                <w:szCs w:val="24"/>
              </w:rPr>
              <w:t>9) w przypadku art. 5 ust. 2-4 projektowanej ustawy wyjaśnienia wymaga, czy sprzeciw</w:t>
            </w:r>
            <w:r w:rsidR="006A3FA5" w:rsidRPr="00C2523C">
              <w:rPr>
                <w:rFonts w:cstheme="minorHAnsi"/>
                <w:sz w:val="24"/>
                <w:szCs w:val="24"/>
              </w:rPr>
              <w:t xml:space="preserve"> </w:t>
            </w:r>
            <w:r w:rsidRPr="00C2523C">
              <w:rPr>
                <w:rFonts w:cstheme="minorHAnsi"/>
                <w:sz w:val="24"/>
                <w:szCs w:val="24"/>
              </w:rPr>
              <w:t>wnoszony przez nadawcę wiadomości, oprócz uzasadnienia i wskazania numeru</w:t>
            </w:r>
            <w:r w:rsidR="006A3FA5" w:rsidRPr="00C2523C">
              <w:rPr>
                <w:rFonts w:cstheme="minorHAnsi"/>
                <w:sz w:val="24"/>
                <w:szCs w:val="24"/>
              </w:rPr>
              <w:t xml:space="preserve"> </w:t>
            </w:r>
            <w:r w:rsidRPr="00C2523C">
              <w:rPr>
                <w:rFonts w:cstheme="minorHAnsi"/>
                <w:sz w:val="24"/>
                <w:szCs w:val="24"/>
              </w:rPr>
              <w:t>wykorzystywanego do nadania wiadomości, nie powinien również zawierać danych</w:t>
            </w:r>
            <w:r w:rsidR="006A3FA5" w:rsidRPr="00C2523C">
              <w:rPr>
                <w:rFonts w:cstheme="minorHAnsi"/>
                <w:sz w:val="24"/>
                <w:szCs w:val="24"/>
              </w:rPr>
              <w:t xml:space="preserve"> </w:t>
            </w:r>
            <w:r w:rsidRPr="00C2523C">
              <w:rPr>
                <w:rFonts w:cstheme="minorHAnsi"/>
                <w:sz w:val="24"/>
                <w:szCs w:val="24"/>
              </w:rPr>
              <w:t xml:space="preserve">identyfikacyjnych nadawcy; </w:t>
            </w:r>
            <w:r w:rsidR="0012541B" w:rsidRPr="00C2523C">
              <w:rPr>
                <w:rFonts w:cstheme="minorHAnsi"/>
                <w:sz w:val="24"/>
                <w:szCs w:val="24"/>
              </w:rPr>
              <w:br/>
            </w:r>
            <w:r w:rsidRPr="00C2523C">
              <w:rPr>
                <w:rFonts w:cstheme="minorHAnsi"/>
                <w:sz w:val="24"/>
                <w:szCs w:val="24"/>
              </w:rPr>
              <w:t>wskazać należy także, że Projektodawca nie przewidział</w:t>
            </w:r>
            <w:r w:rsidR="006A3FA5" w:rsidRPr="00C2523C">
              <w:rPr>
                <w:rFonts w:cstheme="minorHAnsi"/>
                <w:sz w:val="24"/>
                <w:szCs w:val="24"/>
              </w:rPr>
              <w:t xml:space="preserve"> </w:t>
            </w:r>
            <w:r w:rsidRPr="00C2523C">
              <w:rPr>
                <w:rFonts w:cstheme="minorHAnsi"/>
                <w:sz w:val="24"/>
                <w:szCs w:val="24"/>
              </w:rPr>
              <w:t>procedury prowadzącej do uzupełnienia sprzeciwu w przypadku braków formalnych –</w:t>
            </w:r>
            <w:r w:rsidR="000D6FD2" w:rsidRPr="00C2523C">
              <w:rPr>
                <w:rFonts w:cstheme="minorHAnsi"/>
                <w:sz w:val="24"/>
                <w:szCs w:val="24"/>
              </w:rPr>
              <w:t xml:space="preserve"> </w:t>
            </w:r>
            <w:r w:rsidRPr="00C2523C">
              <w:rPr>
                <w:rFonts w:cstheme="minorHAnsi"/>
                <w:sz w:val="24"/>
                <w:szCs w:val="24"/>
              </w:rPr>
              <w:t>w takiej sytuacji wydaje się właściwym rozważenie wprowadzenia przepisu</w:t>
            </w:r>
            <w:r w:rsidR="006A3FA5" w:rsidRPr="00C2523C">
              <w:rPr>
                <w:rFonts w:cstheme="minorHAnsi"/>
                <w:sz w:val="24"/>
                <w:szCs w:val="24"/>
              </w:rPr>
              <w:t xml:space="preserve"> </w:t>
            </w:r>
            <w:r w:rsidRPr="00C2523C">
              <w:rPr>
                <w:rFonts w:cstheme="minorHAnsi"/>
                <w:sz w:val="24"/>
                <w:szCs w:val="24"/>
              </w:rPr>
              <w:t>wprowadzającego obowiązek Prezesa UKE do wezwania nadawcy wnoszącego sprzeciw do</w:t>
            </w:r>
            <w:r w:rsidR="006A3FA5" w:rsidRPr="00C2523C">
              <w:rPr>
                <w:rFonts w:cstheme="minorHAnsi"/>
                <w:sz w:val="24"/>
                <w:szCs w:val="24"/>
              </w:rPr>
              <w:t xml:space="preserve"> </w:t>
            </w:r>
            <w:r w:rsidRPr="00C2523C">
              <w:rPr>
                <w:rFonts w:cstheme="minorHAnsi"/>
                <w:sz w:val="24"/>
                <w:szCs w:val="24"/>
              </w:rPr>
              <w:t>uzupełnienia braków w wyznaczonym terminie pod rygorem pozostawienia sprzeciwu bez</w:t>
            </w:r>
            <w:r w:rsidR="006A3FA5" w:rsidRPr="00C2523C">
              <w:rPr>
                <w:rFonts w:cstheme="minorHAnsi"/>
                <w:sz w:val="24"/>
                <w:szCs w:val="24"/>
              </w:rPr>
              <w:t xml:space="preserve"> </w:t>
            </w:r>
            <w:r w:rsidRPr="00C2523C">
              <w:rPr>
                <w:rFonts w:cstheme="minorHAnsi"/>
                <w:sz w:val="24"/>
                <w:szCs w:val="24"/>
              </w:rPr>
              <w:t>rozpoznania;</w:t>
            </w:r>
          </w:p>
        </w:tc>
        <w:tc>
          <w:tcPr>
            <w:tcW w:w="3509" w:type="dxa"/>
          </w:tcPr>
          <w:p w14:paraId="453934AA" w14:textId="201F6663" w:rsidR="002E3E01" w:rsidRPr="00C2523C" w:rsidRDefault="0012541B" w:rsidP="002E3E01">
            <w:r w:rsidRPr="00C2523C">
              <w:rPr>
                <w:rFonts w:cstheme="minorHAnsi"/>
                <w:b/>
                <w:sz w:val="24"/>
                <w:szCs w:val="24"/>
              </w:rPr>
              <w:t>Uwaga uwzględniona</w:t>
            </w:r>
            <w:r w:rsidRPr="00C2523C">
              <w:rPr>
                <w:rFonts w:cstheme="minorHAnsi"/>
                <w:sz w:val="24"/>
                <w:szCs w:val="24"/>
              </w:rPr>
              <w:t xml:space="preserve"> </w:t>
            </w:r>
            <w:r w:rsidRPr="00C2523C">
              <w:rPr>
                <w:rFonts w:cstheme="minorHAnsi"/>
                <w:sz w:val="24"/>
                <w:szCs w:val="24"/>
              </w:rPr>
              <w:br/>
              <w:t>w zakresie uzupełnienia, że sprzeciw zawiera dane identyfikujące nadawcę</w:t>
            </w:r>
            <w:r w:rsidR="002E3E01" w:rsidRPr="00C2523C">
              <w:rPr>
                <w:rFonts w:cstheme="minorHAnsi"/>
                <w:sz w:val="24"/>
                <w:szCs w:val="24"/>
              </w:rPr>
              <w:t xml:space="preserve">, w szczególności </w:t>
            </w:r>
            <w:r w:rsidR="002E3E01" w:rsidRPr="00C2523C">
              <w:t xml:space="preserve"> </w:t>
            </w:r>
          </w:p>
          <w:p w14:paraId="78DBCBCB" w14:textId="0B0014AF" w:rsidR="002E3E01" w:rsidRPr="00C2523C" w:rsidRDefault="002E3E01" w:rsidP="002E3E01">
            <w:pPr>
              <w:rPr>
                <w:rFonts w:cstheme="minorHAnsi"/>
                <w:sz w:val="24"/>
                <w:szCs w:val="24"/>
              </w:rPr>
            </w:pPr>
            <w:r w:rsidRPr="00C2523C">
              <w:t>a)</w:t>
            </w:r>
            <w:r w:rsidR="0023384C" w:rsidRPr="00C2523C">
              <w:t xml:space="preserve"> </w:t>
            </w:r>
            <w:r w:rsidRPr="00C2523C">
              <w:rPr>
                <w:rFonts w:cstheme="minorHAnsi"/>
                <w:sz w:val="24"/>
                <w:szCs w:val="24"/>
              </w:rPr>
              <w:t>imię i nazwisko, adres zamieszkania - w przypadku osób fizycznych,</w:t>
            </w:r>
          </w:p>
          <w:p w14:paraId="5FE25D7D" w14:textId="23262D0C" w:rsidR="0012541B" w:rsidRPr="00C2523C" w:rsidRDefault="002E3E01" w:rsidP="002E3E01">
            <w:pPr>
              <w:rPr>
                <w:rFonts w:cstheme="minorHAnsi"/>
                <w:sz w:val="24"/>
                <w:szCs w:val="24"/>
              </w:rPr>
            </w:pPr>
            <w:r w:rsidRPr="00C2523C">
              <w:rPr>
                <w:rFonts w:cstheme="minorHAnsi"/>
                <w:sz w:val="24"/>
                <w:szCs w:val="24"/>
              </w:rPr>
              <w:t>b)</w:t>
            </w:r>
            <w:r w:rsidRPr="00C2523C">
              <w:rPr>
                <w:rFonts w:cstheme="minorHAnsi"/>
                <w:sz w:val="24"/>
                <w:szCs w:val="24"/>
              </w:rPr>
              <w:tab/>
              <w:t>nazwę podmiotu, adres, numer z właściwego rejestru - w przypadku osób prawnych.</w:t>
            </w:r>
          </w:p>
          <w:p w14:paraId="742ABFB7" w14:textId="77777777" w:rsidR="0012541B" w:rsidRPr="00C2523C" w:rsidRDefault="0012541B" w:rsidP="00277373">
            <w:pPr>
              <w:rPr>
                <w:rFonts w:cstheme="minorHAnsi"/>
                <w:sz w:val="24"/>
                <w:szCs w:val="24"/>
              </w:rPr>
            </w:pPr>
          </w:p>
          <w:p w14:paraId="2D47320B" w14:textId="0F9F8B3B" w:rsidR="00BF24F1" w:rsidRPr="00C2523C" w:rsidRDefault="0012541B" w:rsidP="007347AD">
            <w:pPr>
              <w:rPr>
                <w:rFonts w:cstheme="minorHAnsi"/>
                <w:sz w:val="24"/>
                <w:szCs w:val="24"/>
              </w:rPr>
            </w:pPr>
            <w:r w:rsidRPr="00C2523C">
              <w:rPr>
                <w:rFonts w:cstheme="minorHAnsi"/>
                <w:b/>
                <w:sz w:val="24"/>
                <w:szCs w:val="24"/>
              </w:rPr>
              <w:t xml:space="preserve">Uwaga </w:t>
            </w:r>
            <w:r w:rsidR="007347AD" w:rsidRPr="00C2523C">
              <w:rPr>
                <w:rFonts w:cstheme="minorHAnsi"/>
                <w:b/>
                <w:sz w:val="24"/>
                <w:szCs w:val="24"/>
              </w:rPr>
              <w:t>wyjaśniona</w:t>
            </w:r>
            <w:r w:rsidR="007347AD" w:rsidRPr="00C2523C">
              <w:rPr>
                <w:rFonts w:cstheme="minorHAnsi"/>
                <w:sz w:val="24"/>
                <w:szCs w:val="24"/>
              </w:rPr>
              <w:t xml:space="preserve"> </w:t>
            </w:r>
            <w:r w:rsidR="000D6FD2" w:rsidRPr="00C2523C">
              <w:rPr>
                <w:rFonts w:cstheme="minorHAnsi"/>
                <w:sz w:val="24"/>
                <w:szCs w:val="24"/>
              </w:rPr>
              <w:br/>
            </w:r>
            <w:r w:rsidRPr="00C2523C">
              <w:rPr>
                <w:rFonts w:cstheme="minorHAnsi"/>
                <w:sz w:val="24"/>
                <w:szCs w:val="24"/>
              </w:rPr>
              <w:t xml:space="preserve">w zakresie </w:t>
            </w:r>
            <w:r w:rsidR="000D6FD2" w:rsidRPr="00C2523C">
              <w:rPr>
                <w:rFonts w:cstheme="minorHAnsi"/>
                <w:sz w:val="24"/>
                <w:szCs w:val="24"/>
              </w:rPr>
              <w:t xml:space="preserve">wymogu wezwania do </w:t>
            </w:r>
            <w:r w:rsidRPr="00C2523C">
              <w:rPr>
                <w:rFonts w:cstheme="minorHAnsi"/>
                <w:sz w:val="24"/>
                <w:szCs w:val="24"/>
              </w:rPr>
              <w:t>uzupełnienia sprzeciwu jako działania</w:t>
            </w:r>
            <w:r w:rsidR="000D6FD2" w:rsidRPr="00C2523C">
              <w:rPr>
                <w:rFonts w:cstheme="minorHAnsi"/>
                <w:sz w:val="24"/>
                <w:szCs w:val="24"/>
              </w:rPr>
              <w:t xml:space="preserve"> nieadekwatnego i </w:t>
            </w:r>
            <w:r w:rsidRPr="00C2523C">
              <w:rPr>
                <w:rFonts w:cstheme="minorHAnsi"/>
                <w:sz w:val="24"/>
                <w:szCs w:val="24"/>
              </w:rPr>
              <w:t>nieproporcjonalnego</w:t>
            </w:r>
            <w:r w:rsidR="005B5A49" w:rsidRPr="00C2523C">
              <w:rPr>
                <w:rFonts w:cstheme="minorHAnsi"/>
                <w:sz w:val="24"/>
                <w:szCs w:val="24"/>
              </w:rPr>
              <w:t>.</w:t>
            </w:r>
            <w:r w:rsidR="000D6FD2" w:rsidRPr="00C2523C">
              <w:rPr>
                <w:rFonts w:cstheme="minorHAnsi"/>
                <w:sz w:val="24"/>
                <w:szCs w:val="24"/>
              </w:rPr>
              <w:t xml:space="preserve"> </w:t>
            </w:r>
            <w:r w:rsidR="005B5A49" w:rsidRPr="00C2523C">
              <w:rPr>
                <w:rFonts w:cstheme="minorHAnsi"/>
                <w:sz w:val="24"/>
                <w:szCs w:val="24"/>
              </w:rPr>
              <w:t>M</w:t>
            </w:r>
            <w:r w:rsidRPr="00C2523C">
              <w:rPr>
                <w:rFonts w:cstheme="minorHAnsi"/>
                <w:sz w:val="24"/>
                <w:szCs w:val="24"/>
              </w:rPr>
              <w:t>ożliw</w:t>
            </w:r>
            <w:r w:rsidR="000D6FD2" w:rsidRPr="00C2523C">
              <w:rPr>
                <w:rFonts w:cstheme="minorHAnsi"/>
                <w:sz w:val="24"/>
                <w:szCs w:val="24"/>
              </w:rPr>
              <w:t>e</w:t>
            </w:r>
            <w:r w:rsidRPr="00C2523C">
              <w:rPr>
                <w:rFonts w:cstheme="minorHAnsi"/>
                <w:sz w:val="24"/>
                <w:szCs w:val="24"/>
              </w:rPr>
              <w:t xml:space="preserve"> jest ponowienie sprzeciwu poprzez złożenie prawidłowego, tj. spełniającego wymogi formalne. Tryby szczególne procedur administracyjnych przewidują </w:t>
            </w:r>
            <w:r w:rsidR="005B5A49" w:rsidRPr="00C2523C">
              <w:rPr>
                <w:rFonts w:cstheme="minorHAnsi"/>
                <w:sz w:val="24"/>
                <w:szCs w:val="24"/>
              </w:rPr>
              <w:t>rozwiązania o takim charakterze</w:t>
            </w:r>
            <w:r w:rsidRPr="00C2523C">
              <w:rPr>
                <w:rFonts w:cstheme="minorHAnsi"/>
                <w:sz w:val="24"/>
                <w:szCs w:val="24"/>
              </w:rPr>
              <w:t>.</w:t>
            </w:r>
          </w:p>
        </w:tc>
      </w:tr>
      <w:tr w:rsidR="00C2523C" w:rsidRPr="00C2523C" w14:paraId="32D31174" w14:textId="77777777" w:rsidTr="002F0E46">
        <w:tc>
          <w:tcPr>
            <w:tcW w:w="750" w:type="dxa"/>
          </w:tcPr>
          <w:p w14:paraId="504C17FA" w14:textId="795B9E95"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1240B182" w14:textId="127E1946"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56E679FA" w14:textId="389E9411" w:rsidR="00BF24F1" w:rsidRPr="00C2523C" w:rsidRDefault="00BF24F1" w:rsidP="00277373">
            <w:pPr>
              <w:rPr>
                <w:rFonts w:cstheme="minorHAnsi"/>
                <w:sz w:val="24"/>
                <w:szCs w:val="24"/>
              </w:rPr>
            </w:pPr>
            <w:r w:rsidRPr="00C2523C">
              <w:rPr>
                <w:rFonts w:cstheme="minorHAnsi"/>
                <w:sz w:val="24"/>
                <w:szCs w:val="24"/>
              </w:rPr>
              <w:t>Art. 6 ust. 1</w:t>
            </w:r>
          </w:p>
        </w:tc>
        <w:tc>
          <w:tcPr>
            <w:tcW w:w="7229" w:type="dxa"/>
          </w:tcPr>
          <w:p w14:paraId="4DDFFC42" w14:textId="4772D28B"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zgodnie z art. 6 ust. 1 projektu Prezes UKE rozpatruje sprzeciw i informuje</w:t>
            </w:r>
            <w:r w:rsidR="005B5A49" w:rsidRPr="00C2523C">
              <w:rPr>
                <w:rFonts w:cstheme="minorHAnsi"/>
                <w:sz w:val="24"/>
                <w:szCs w:val="24"/>
              </w:rPr>
              <w:t xml:space="preserve"> </w:t>
            </w:r>
            <w:r w:rsidRPr="00C2523C">
              <w:rPr>
                <w:rFonts w:cstheme="minorHAnsi"/>
                <w:sz w:val="24"/>
                <w:szCs w:val="24"/>
              </w:rPr>
              <w:t>nadawcę o sposobie jego rozpatrzenia. Z przepisu ust. 2 wynika, że Prezes UKE może</w:t>
            </w:r>
            <w:r w:rsidR="005B5A49" w:rsidRPr="00C2523C">
              <w:rPr>
                <w:rFonts w:cstheme="minorHAnsi"/>
                <w:sz w:val="24"/>
                <w:szCs w:val="24"/>
              </w:rPr>
              <w:t xml:space="preserve"> </w:t>
            </w:r>
            <w:r w:rsidR="0031593D" w:rsidRPr="00C2523C">
              <w:rPr>
                <w:rFonts w:cstheme="minorHAnsi"/>
                <w:sz w:val="24"/>
                <w:szCs w:val="24"/>
              </w:rPr>
              <w:t>s</w:t>
            </w:r>
            <w:r w:rsidRPr="00C2523C">
              <w:rPr>
                <w:rFonts w:cstheme="minorHAnsi"/>
                <w:sz w:val="24"/>
                <w:szCs w:val="24"/>
              </w:rPr>
              <w:t>przeciw uwzględnić – brak jednak regulacji wskazującej na drugi sposób rozstrzygnięcia –</w:t>
            </w:r>
            <w:r w:rsidR="006731AF" w:rsidRPr="00C2523C">
              <w:rPr>
                <w:rFonts w:cstheme="minorHAnsi"/>
                <w:sz w:val="24"/>
                <w:szCs w:val="24"/>
              </w:rPr>
              <w:t xml:space="preserve"> </w:t>
            </w:r>
            <w:r w:rsidRPr="00C2523C">
              <w:rPr>
                <w:rFonts w:cstheme="minorHAnsi"/>
                <w:sz w:val="24"/>
                <w:szCs w:val="24"/>
              </w:rPr>
              <w:t>nieuwzględniający sprzeciwu oraz określenia procedury odwoławczej od tego rozstrzygnięcia.</w:t>
            </w:r>
          </w:p>
          <w:p w14:paraId="62E25D09" w14:textId="6AF87588" w:rsidR="00BF24F1" w:rsidRPr="00C2523C" w:rsidRDefault="00BF24F1" w:rsidP="00BD3E38">
            <w:pPr>
              <w:autoSpaceDE w:val="0"/>
              <w:autoSpaceDN w:val="0"/>
              <w:adjustRightInd w:val="0"/>
              <w:rPr>
                <w:rFonts w:cstheme="minorHAnsi"/>
                <w:sz w:val="24"/>
                <w:szCs w:val="24"/>
              </w:rPr>
            </w:pPr>
            <w:r w:rsidRPr="00C2523C">
              <w:rPr>
                <w:rFonts w:cstheme="minorHAnsi"/>
                <w:sz w:val="24"/>
                <w:szCs w:val="24"/>
              </w:rPr>
              <w:lastRenderedPageBreak/>
              <w:t>Wskazać także należy, że projektowane przepisy nie określają trybu w jakim Prezes UKE</w:t>
            </w:r>
            <w:r w:rsidR="006731AF" w:rsidRPr="00C2523C">
              <w:rPr>
                <w:rFonts w:cstheme="minorHAnsi"/>
                <w:sz w:val="24"/>
                <w:szCs w:val="24"/>
              </w:rPr>
              <w:t xml:space="preserve"> </w:t>
            </w:r>
            <w:r w:rsidRPr="00C2523C">
              <w:rPr>
                <w:rFonts w:cstheme="minorHAnsi"/>
                <w:sz w:val="24"/>
                <w:szCs w:val="24"/>
              </w:rPr>
              <w:t>uwzględnia sprzeciw bądź go nie uwzględnia, nie wiadomo także czy Prezes UKE wydaje</w:t>
            </w:r>
            <w:r w:rsidR="006731AF" w:rsidRPr="00C2523C">
              <w:rPr>
                <w:rFonts w:cstheme="minorHAnsi"/>
                <w:sz w:val="24"/>
                <w:szCs w:val="24"/>
              </w:rPr>
              <w:t xml:space="preserve"> </w:t>
            </w:r>
            <w:r w:rsidRPr="00C2523C">
              <w:rPr>
                <w:rFonts w:cstheme="minorHAnsi"/>
                <w:sz w:val="24"/>
                <w:szCs w:val="24"/>
              </w:rPr>
              <w:t>w tej sprawie decyzje. Ponadto zauważenia wymaga, analogicznie jak w przypadku CSIRT</w:t>
            </w:r>
            <w:r w:rsidR="006731AF" w:rsidRPr="00C2523C">
              <w:rPr>
                <w:rFonts w:cstheme="minorHAnsi"/>
                <w:sz w:val="24"/>
                <w:szCs w:val="24"/>
              </w:rPr>
              <w:t xml:space="preserve"> </w:t>
            </w:r>
            <w:r w:rsidRPr="00C2523C">
              <w:rPr>
                <w:rFonts w:cstheme="minorHAnsi"/>
                <w:sz w:val="24"/>
                <w:szCs w:val="24"/>
              </w:rPr>
              <w:t>NASK, że zadania Prezesa UKE określone w art. 5 i art. 6 projektu ustawy nie znajdują</w:t>
            </w:r>
            <w:r w:rsidR="000324E8" w:rsidRPr="00C2523C">
              <w:rPr>
                <w:rFonts w:cstheme="minorHAnsi"/>
                <w:sz w:val="24"/>
                <w:szCs w:val="24"/>
              </w:rPr>
              <w:t xml:space="preserve"> </w:t>
            </w:r>
            <w:r w:rsidRPr="00C2523C">
              <w:rPr>
                <w:rFonts w:cstheme="minorHAnsi"/>
                <w:sz w:val="24"/>
                <w:szCs w:val="24"/>
              </w:rPr>
              <w:t>odzwierciedlenia w zakresie działania Prezesa UKE, określonego w art. 192 ustawy – Prawo</w:t>
            </w:r>
            <w:r w:rsidR="006731AF" w:rsidRPr="00C2523C">
              <w:rPr>
                <w:rFonts w:cstheme="minorHAnsi"/>
                <w:sz w:val="24"/>
                <w:szCs w:val="24"/>
              </w:rPr>
              <w:t xml:space="preserve"> </w:t>
            </w:r>
            <w:r w:rsidRPr="00C2523C">
              <w:rPr>
                <w:rFonts w:cstheme="minorHAnsi"/>
                <w:sz w:val="24"/>
                <w:szCs w:val="24"/>
              </w:rPr>
              <w:t>telekomunikacyjne, co wymaga wprowadzenia do przedmiotowego projektu odpowiednich</w:t>
            </w:r>
            <w:r w:rsidR="006731AF" w:rsidRPr="00C2523C">
              <w:rPr>
                <w:rFonts w:cstheme="minorHAnsi"/>
                <w:sz w:val="24"/>
                <w:szCs w:val="24"/>
              </w:rPr>
              <w:t xml:space="preserve"> </w:t>
            </w:r>
            <w:r w:rsidRPr="00C2523C">
              <w:rPr>
                <w:rFonts w:cstheme="minorHAnsi"/>
                <w:sz w:val="24"/>
                <w:szCs w:val="24"/>
              </w:rPr>
              <w:t>przepisów zmieniających ww. ustawę;</w:t>
            </w:r>
          </w:p>
        </w:tc>
        <w:tc>
          <w:tcPr>
            <w:tcW w:w="3509" w:type="dxa"/>
          </w:tcPr>
          <w:p w14:paraId="6F780847" w14:textId="7AE443D5" w:rsidR="008650B8" w:rsidRPr="00C2523C" w:rsidRDefault="008650B8" w:rsidP="00277373">
            <w:pPr>
              <w:rPr>
                <w:rFonts w:cstheme="minorHAnsi"/>
                <w:sz w:val="24"/>
                <w:szCs w:val="24"/>
              </w:rPr>
            </w:pPr>
            <w:r w:rsidRPr="00C2523C">
              <w:rPr>
                <w:rFonts w:cstheme="minorHAnsi"/>
                <w:b/>
                <w:sz w:val="24"/>
                <w:szCs w:val="24"/>
              </w:rPr>
              <w:lastRenderedPageBreak/>
              <w:t>Uwag</w:t>
            </w:r>
            <w:r w:rsidR="008B14A0">
              <w:rPr>
                <w:rFonts w:cstheme="minorHAnsi"/>
                <w:b/>
                <w:sz w:val="24"/>
                <w:szCs w:val="24"/>
              </w:rPr>
              <w:t>a</w:t>
            </w:r>
            <w:r w:rsidRPr="00C2523C">
              <w:rPr>
                <w:rFonts w:cstheme="minorHAnsi"/>
                <w:b/>
                <w:sz w:val="24"/>
                <w:szCs w:val="24"/>
              </w:rPr>
              <w:t xml:space="preserve"> uwzględnion</w:t>
            </w:r>
            <w:r w:rsidR="008B14A0">
              <w:rPr>
                <w:rFonts w:cstheme="minorHAnsi"/>
                <w:b/>
                <w:sz w:val="24"/>
                <w:szCs w:val="24"/>
              </w:rPr>
              <w:t>a</w:t>
            </w:r>
            <w:r w:rsidRPr="00C2523C">
              <w:rPr>
                <w:rFonts w:cstheme="minorHAnsi"/>
                <w:sz w:val="24"/>
                <w:szCs w:val="24"/>
              </w:rPr>
              <w:br/>
              <w:t xml:space="preserve">w zakresie uzupełnienia sposobów rozpatrzenia sprzeciwu wraz z określeniem przesłanek oraz </w:t>
            </w:r>
            <w:r w:rsidR="006731AF" w:rsidRPr="00C2523C">
              <w:rPr>
                <w:rFonts w:cstheme="minorHAnsi"/>
                <w:sz w:val="24"/>
                <w:szCs w:val="24"/>
              </w:rPr>
              <w:t xml:space="preserve">uzupełnienia katalogu z </w:t>
            </w:r>
            <w:r w:rsidRPr="00C2523C">
              <w:rPr>
                <w:rFonts w:cstheme="minorHAnsi"/>
                <w:sz w:val="24"/>
                <w:szCs w:val="24"/>
              </w:rPr>
              <w:t xml:space="preserve">art. </w:t>
            </w:r>
            <w:r w:rsidRPr="00C2523C">
              <w:rPr>
                <w:rFonts w:cstheme="minorHAnsi"/>
                <w:sz w:val="24"/>
                <w:szCs w:val="24"/>
              </w:rPr>
              <w:lastRenderedPageBreak/>
              <w:t>192</w:t>
            </w:r>
            <w:r w:rsidR="0031593D" w:rsidRPr="00C2523C">
              <w:rPr>
                <w:rFonts w:cstheme="minorHAnsi"/>
                <w:sz w:val="24"/>
                <w:szCs w:val="24"/>
              </w:rPr>
              <w:t xml:space="preserve"> ustawy -</w:t>
            </w:r>
            <w:r w:rsidRPr="00C2523C">
              <w:rPr>
                <w:rFonts w:cstheme="minorHAnsi"/>
                <w:sz w:val="24"/>
                <w:szCs w:val="24"/>
              </w:rPr>
              <w:t xml:space="preserve"> Praw</w:t>
            </w:r>
            <w:r w:rsidR="0031593D" w:rsidRPr="00C2523C">
              <w:rPr>
                <w:rFonts w:cstheme="minorHAnsi"/>
                <w:sz w:val="24"/>
                <w:szCs w:val="24"/>
              </w:rPr>
              <w:t>o</w:t>
            </w:r>
            <w:r w:rsidRPr="00C2523C">
              <w:rPr>
                <w:rFonts w:cstheme="minorHAnsi"/>
                <w:sz w:val="24"/>
                <w:szCs w:val="24"/>
              </w:rPr>
              <w:t xml:space="preserve"> telekomunikacyjne</w:t>
            </w:r>
            <w:r w:rsidR="0031593D" w:rsidRPr="00C2523C">
              <w:rPr>
                <w:rFonts w:cstheme="minorHAnsi"/>
                <w:sz w:val="24"/>
                <w:szCs w:val="24"/>
              </w:rPr>
              <w:t>.</w:t>
            </w:r>
          </w:p>
          <w:p w14:paraId="21180DB8" w14:textId="220B456E" w:rsidR="00BF24F1" w:rsidRPr="00C2523C" w:rsidRDefault="008650B8">
            <w:pPr>
              <w:rPr>
                <w:rFonts w:cstheme="minorHAnsi"/>
                <w:b/>
                <w:sz w:val="24"/>
                <w:szCs w:val="24"/>
              </w:rPr>
            </w:pPr>
            <w:r w:rsidRPr="00C2523C">
              <w:rPr>
                <w:rFonts w:cstheme="minorHAnsi"/>
                <w:sz w:val="24"/>
                <w:szCs w:val="24"/>
              </w:rPr>
              <w:br/>
            </w:r>
            <w:r w:rsidR="00566AE2" w:rsidRPr="00C2523C">
              <w:rPr>
                <w:rFonts w:cstheme="minorHAnsi"/>
                <w:b/>
                <w:sz w:val="24"/>
                <w:szCs w:val="24"/>
              </w:rPr>
              <w:t>U</w:t>
            </w:r>
            <w:r w:rsidRPr="00C2523C">
              <w:rPr>
                <w:rFonts w:cstheme="minorHAnsi"/>
                <w:b/>
                <w:sz w:val="24"/>
                <w:szCs w:val="24"/>
              </w:rPr>
              <w:t>wagi wyjaśnione</w:t>
            </w:r>
            <w:r w:rsidR="00566AE2" w:rsidRPr="00C2523C">
              <w:rPr>
                <w:rFonts w:cstheme="minorHAnsi"/>
                <w:b/>
                <w:sz w:val="24"/>
                <w:szCs w:val="24"/>
              </w:rPr>
              <w:t xml:space="preserve"> w pozostałym zakresie</w:t>
            </w:r>
            <w:r w:rsidR="008B14A0">
              <w:rPr>
                <w:rFonts w:cstheme="minorHAnsi"/>
                <w:b/>
                <w:sz w:val="24"/>
                <w:szCs w:val="24"/>
              </w:rPr>
              <w:t>.</w:t>
            </w:r>
            <w:r w:rsidR="006731AF" w:rsidRPr="00C2523C">
              <w:rPr>
                <w:rFonts w:cstheme="minorHAnsi"/>
                <w:b/>
                <w:sz w:val="24"/>
                <w:szCs w:val="24"/>
              </w:rPr>
              <w:br/>
            </w:r>
            <w:r w:rsidR="006731AF" w:rsidRPr="00C2523C">
              <w:rPr>
                <w:rFonts w:cstheme="minorHAnsi"/>
                <w:sz w:val="24"/>
                <w:szCs w:val="24"/>
              </w:rPr>
              <w:t>Rozpatrzenie sprzeciwu nie następuje w drodze decyzji administracyjnej i nie wymaga zachowania szczególnej formy. Jest to w ocenie projektodawcy tzw. inna czynność z zakresu administracji publicznej, która podlega kontroli sądu administracyjnego.</w:t>
            </w:r>
          </w:p>
        </w:tc>
      </w:tr>
      <w:tr w:rsidR="00C2523C" w:rsidRPr="00C2523C" w14:paraId="001E9467" w14:textId="77777777" w:rsidTr="002F0E46">
        <w:tc>
          <w:tcPr>
            <w:tcW w:w="750" w:type="dxa"/>
          </w:tcPr>
          <w:p w14:paraId="3F17E67D" w14:textId="397E5B61"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12F218FD" w14:textId="13BB5203"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6CB551A3" w14:textId="2EB71DAF" w:rsidR="00BF24F1" w:rsidRPr="00C2523C" w:rsidRDefault="00BF24F1" w:rsidP="00277373">
            <w:pPr>
              <w:rPr>
                <w:rFonts w:cstheme="minorHAnsi"/>
                <w:sz w:val="24"/>
                <w:szCs w:val="24"/>
              </w:rPr>
            </w:pPr>
            <w:r w:rsidRPr="00C2523C">
              <w:rPr>
                <w:rFonts w:cstheme="minorHAnsi"/>
                <w:sz w:val="24"/>
                <w:szCs w:val="24"/>
              </w:rPr>
              <w:t>Art. 7</w:t>
            </w:r>
          </w:p>
        </w:tc>
        <w:tc>
          <w:tcPr>
            <w:tcW w:w="7229" w:type="dxa"/>
          </w:tcPr>
          <w:p w14:paraId="0EE71ED6" w14:textId="1F904429"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11) w przypadku art. 7 projektu, wprowadzającego możliwość dodatkowego,</w:t>
            </w:r>
            <w:r w:rsidR="006731AF" w:rsidRPr="00C2523C">
              <w:rPr>
                <w:rFonts w:cstheme="minorHAnsi"/>
                <w:sz w:val="24"/>
                <w:szCs w:val="24"/>
              </w:rPr>
              <w:t xml:space="preserve"> </w:t>
            </w:r>
            <w:r w:rsidRPr="00C2523C">
              <w:rPr>
                <w:rFonts w:cstheme="minorHAnsi"/>
                <w:sz w:val="24"/>
                <w:szCs w:val="24"/>
              </w:rPr>
              <w:t>uznaniowego blokowania przez przedsiębiorcę telekomunikacyjnego wiadomości</w:t>
            </w:r>
            <w:r w:rsidR="006731AF" w:rsidRPr="00C2523C">
              <w:rPr>
                <w:rFonts w:cstheme="minorHAnsi"/>
                <w:sz w:val="24"/>
                <w:szCs w:val="24"/>
              </w:rPr>
              <w:t xml:space="preserve"> </w:t>
            </w:r>
            <w:r w:rsidRPr="00C2523C">
              <w:rPr>
                <w:rFonts w:cstheme="minorHAnsi"/>
                <w:sz w:val="24"/>
                <w:szCs w:val="24"/>
              </w:rPr>
              <w:t>zawierających treści wyczerpujących znamiona smishingu, innych niż te określone we wzorcu</w:t>
            </w:r>
          </w:p>
          <w:p w14:paraId="1C0AE9F4" w14:textId="6804F9BA"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przygotowanym przez CSIRT NASK, wskazać należy że projektowana regulacja wymaga</w:t>
            </w:r>
            <w:r w:rsidR="006731AF" w:rsidRPr="00C2523C">
              <w:rPr>
                <w:rFonts w:cstheme="minorHAnsi"/>
                <w:sz w:val="24"/>
                <w:szCs w:val="24"/>
              </w:rPr>
              <w:t xml:space="preserve"> </w:t>
            </w:r>
            <w:r w:rsidRPr="00C2523C">
              <w:rPr>
                <w:rFonts w:cstheme="minorHAnsi"/>
                <w:sz w:val="24"/>
                <w:szCs w:val="24"/>
              </w:rPr>
              <w:t>uzupełnienia o przepisy określające postępowanie prowadzące do zablokowania wiadomości,</w:t>
            </w:r>
            <w:r w:rsidR="006731AF" w:rsidRPr="00C2523C">
              <w:rPr>
                <w:rFonts w:cstheme="minorHAnsi"/>
                <w:sz w:val="24"/>
                <w:szCs w:val="24"/>
              </w:rPr>
              <w:t xml:space="preserve"> </w:t>
            </w:r>
            <w:r w:rsidRPr="00C2523C">
              <w:rPr>
                <w:rFonts w:cstheme="minorHAnsi"/>
                <w:sz w:val="24"/>
                <w:szCs w:val="24"/>
              </w:rPr>
              <w:t>kwestie związane z ewentualnymi sprzeciwami (procedura odwoławcza), kwestie związane</w:t>
            </w:r>
          </w:p>
          <w:p w14:paraId="353F54F1" w14:textId="27F12C14"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z informowaniem CSIRT NASK, Prezesa UKE, Komendanta Głównego Policji oraz innych</w:t>
            </w:r>
            <w:r w:rsidR="006731AF" w:rsidRPr="00C2523C">
              <w:rPr>
                <w:rFonts w:cstheme="minorHAnsi"/>
                <w:sz w:val="24"/>
                <w:szCs w:val="24"/>
              </w:rPr>
              <w:t xml:space="preserve"> </w:t>
            </w:r>
            <w:r w:rsidRPr="00C2523C">
              <w:rPr>
                <w:rFonts w:cstheme="minorHAnsi"/>
                <w:sz w:val="24"/>
                <w:szCs w:val="24"/>
              </w:rPr>
              <w:t>przedsiębiorców o wprowadzonej blokadzie. Wyjaśnienia także wymaga, w jakiej sytuacji</w:t>
            </w:r>
            <w:r w:rsidR="006731AF" w:rsidRPr="00C2523C">
              <w:rPr>
                <w:rFonts w:cstheme="minorHAnsi"/>
                <w:sz w:val="24"/>
                <w:szCs w:val="24"/>
              </w:rPr>
              <w:t xml:space="preserve"> </w:t>
            </w:r>
            <w:r w:rsidRPr="00C2523C">
              <w:rPr>
                <w:rFonts w:cstheme="minorHAnsi"/>
                <w:sz w:val="24"/>
                <w:szCs w:val="24"/>
              </w:rPr>
              <w:t>przedsiębiorca może samodzielnie podjąć decyzję o zablokowaniu wiadomości –</w:t>
            </w:r>
          </w:p>
          <w:p w14:paraId="0309CF1B" w14:textId="322E6312" w:rsidR="00BF24F1" w:rsidRPr="00C2523C" w:rsidRDefault="00BF24F1" w:rsidP="00BF24F1">
            <w:pPr>
              <w:autoSpaceDE w:val="0"/>
              <w:autoSpaceDN w:val="0"/>
              <w:adjustRightInd w:val="0"/>
              <w:rPr>
                <w:rFonts w:cstheme="minorHAnsi"/>
                <w:sz w:val="24"/>
                <w:szCs w:val="24"/>
              </w:rPr>
            </w:pPr>
            <w:r w:rsidRPr="00C2523C">
              <w:rPr>
                <w:rFonts w:cstheme="minorHAnsi"/>
                <w:sz w:val="24"/>
                <w:szCs w:val="24"/>
              </w:rPr>
              <w:t>uzasadnienie projektu w tym zakresie nie zawiera odpowiedniego wyjaśnienia. Wyjaśnienia</w:t>
            </w:r>
            <w:r w:rsidR="006731AF" w:rsidRPr="00C2523C">
              <w:rPr>
                <w:rFonts w:cstheme="minorHAnsi"/>
                <w:sz w:val="24"/>
                <w:szCs w:val="24"/>
              </w:rPr>
              <w:t xml:space="preserve"> </w:t>
            </w:r>
            <w:r w:rsidRPr="00C2523C">
              <w:rPr>
                <w:rFonts w:cstheme="minorHAnsi"/>
                <w:sz w:val="24"/>
                <w:szCs w:val="24"/>
              </w:rPr>
              <w:t>także wymaga, dlaczego Projektodawca nie wprowadził do projektu obowiązku zgłaszania do</w:t>
            </w:r>
            <w:r w:rsidR="006731AF" w:rsidRPr="00C2523C">
              <w:rPr>
                <w:rFonts w:cstheme="minorHAnsi"/>
                <w:sz w:val="24"/>
                <w:szCs w:val="24"/>
              </w:rPr>
              <w:t xml:space="preserve"> </w:t>
            </w:r>
            <w:r w:rsidRPr="00C2523C">
              <w:rPr>
                <w:rFonts w:cstheme="minorHAnsi"/>
                <w:sz w:val="24"/>
                <w:szCs w:val="24"/>
              </w:rPr>
              <w:t>CSIRT NASK bądź Prezesa UKE przypadków wiadomości wyczerpujących znamiona</w:t>
            </w:r>
            <w:r w:rsidR="006731AF" w:rsidRPr="00C2523C">
              <w:rPr>
                <w:rFonts w:cstheme="minorHAnsi"/>
                <w:sz w:val="24"/>
                <w:szCs w:val="24"/>
              </w:rPr>
              <w:t xml:space="preserve"> </w:t>
            </w:r>
            <w:r w:rsidRPr="00C2523C">
              <w:rPr>
                <w:rFonts w:cstheme="minorHAnsi"/>
                <w:sz w:val="24"/>
                <w:szCs w:val="24"/>
              </w:rPr>
              <w:lastRenderedPageBreak/>
              <w:t>smishingu także przez przedsiębiorców telekomunikacyjnych, co mogłoby skutkować</w:t>
            </w:r>
            <w:r w:rsidR="000324E8" w:rsidRPr="00C2523C">
              <w:rPr>
                <w:rFonts w:cstheme="minorHAnsi"/>
                <w:sz w:val="24"/>
                <w:szCs w:val="24"/>
              </w:rPr>
              <w:t xml:space="preserve"> </w:t>
            </w:r>
            <w:r w:rsidRPr="00C2523C">
              <w:rPr>
                <w:rFonts w:cstheme="minorHAnsi"/>
                <w:sz w:val="24"/>
                <w:szCs w:val="24"/>
              </w:rPr>
              <w:t>uwzględnieniem treści zawartych w tych wiadomościach we wzorcu, o którym mowa w art. 4</w:t>
            </w:r>
            <w:r w:rsidR="006731AF" w:rsidRPr="00C2523C">
              <w:rPr>
                <w:rFonts w:cstheme="minorHAnsi"/>
                <w:sz w:val="24"/>
                <w:szCs w:val="24"/>
              </w:rPr>
              <w:t xml:space="preserve"> </w:t>
            </w:r>
            <w:r w:rsidRPr="00C2523C">
              <w:rPr>
                <w:rFonts w:cstheme="minorHAnsi"/>
                <w:sz w:val="24"/>
                <w:szCs w:val="24"/>
              </w:rPr>
              <w:t>ust. 2;</w:t>
            </w:r>
          </w:p>
        </w:tc>
        <w:tc>
          <w:tcPr>
            <w:tcW w:w="3509" w:type="dxa"/>
          </w:tcPr>
          <w:p w14:paraId="03CC6086" w14:textId="358F4D3D" w:rsidR="006731AF" w:rsidRPr="00C2523C" w:rsidRDefault="006731AF" w:rsidP="00277373">
            <w:pPr>
              <w:rPr>
                <w:rFonts w:cstheme="minorHAnsi"/>
                <w:sz w:val="24"/>
                <w:szCs w:val="24"/>
              </w:rPr>
            </w:pPr>
            <w:r w:rsidRPr="00C2523C">
              <w:rPr>
                <w:rFonts w:cstheme="minorHAnsi"/>
                <w:b/>
                <w:sz w:val="24"/>
                <w:szCs w:val="24"/>
              </w:rPr>
              <w:lastRenderedPageBreak/>
              <w:t xml:space="preserve">Uwaga </w:t>
            </w:r>
            <w:r w:rsidR="00287CD8" w:rsidRPr="00C2523C">
              <w:rPr>
                <w:rFonts w:cstheme="minorHAnsi"/>
                <w:b/>
                <w:sz w:val="24"/>
                <w:szCs w:val="24"/>
              </w:rPr>
              <w:t xml:space="preserve">częściowo </w:t>
            </w:r>
            <w:r w:rsidRPr="00C2523C">
              <w:rPr>
                <w:rFonts w:cstheme="minorHAnsi"/>
                <w:b/>
                <w:sz w:val="24"/>
                <w:szCs w:val="24"/>
              </w:rPr>
              <w:t>uwzględniona</w:t>
            </w:r>
            <w:r w:rsidRPr="00C2523C">
              <w:rPr>
                <w:rFonts w:cstheme="minorHAnsi"/>
                <w:sz w:val="24"/>
                <w:szCs w:val="24"/>
              </w:rPr>
              <w:t xml:space="preserve"> </w:t>
            </w:r>
            <w:r w:rsidRPr="00C2523C">
              <w:rPr>
                <w:rFonts w:cstheme="minorHAnsi"/>
                <w:sz w:val="24"/>
                <w:szCs w:val="24"/>
              </w:rPr>
              <w:br/>
              <w:t xml:space="preserve">w zakresie dodania do </w:t>
            </w:r>
            <w:r w:rsidR="005B5A49" w:rsidRPr="00C2523C">
              <w:rPr>
                <w:rFonts w:cstheme="minorHAnsi"/>
                <w:sz w:val="24"/>
                <w:szCs w:val="24"/>
              </w:rPr>
              <w:t xml:space="preserve">projektowanego </w:t>
            </w:r>
            <w:r w:rsidRPr="00C2523C">
              <w:rPr>
                <w:rFonts w:cstheme="minorHAnsi"/>
                <w:sz w:val="24"/>
                <w:szCs w:val="24"/>
              </w:rPr>
              <w:t xml:space="preserve">art. 4 ust. 1 </w:t>
            </w:r>
            <w:r w:rsidR="005B5A49" w:rsidRPr="00C2523C">
              <w:rPr>
                <w:rFonts w:cstheme="minorHAnsi"/>
                <w:sz w:val="24"/>
                <w:szCs w:val="24"/>
              </w:rPr>
              <w:t xml:space="preserve">przedsiębiorcy telekomunikacyjnego </w:t>
            </w:r>
            <w:r w:rsidRPr="00C2523C">
              <w:rPr>
                <w:rFonts w:cstheme="minorHAnsi"/>
                <w:sz w:val="24"/>
                <w:szCs w:val="24"/>
              </w:rPr>
              <w:t>jako podmiotu, od którego mogą pochodzić informacje o występowaniu smishingu.</w:t>
            </w:r>
          </w:p>
          <w:p w14:paraId="53224B45" w14:textId="77777777" w:rsidR="006731AF" w:rsidRPr="00C2523C" w:rsidRDefault="006731AF" w:rsidP="00277373">
            <w:pPr>
              <w:rPr>
                <w:rFonts w:cstheme="minorHAnsi"/>
                <w:sz w:val="24"/>
                <w:szCs w:val="24"/>
              </w:rPr>
            </w:pPr>
          </w:p>
          <w:p w14:paraId="755E5D78" w14:textId="1F188B81" w:rsidR="005B5A49" w:rsidRPr="00C2523C" w:rsidRDefault="00287CD8" w:rsidP="00277373">
            <w:pPr>
              <w:rPr>
                <w:sz w:val="24"/>
                <w:szCs w:val="24"/>
              </w:rPr>
            </w:pPr>
            <w:r w:rsidRPr="00C2523C">
              <w:rPr>
                <w:rFonts w:cstheme="minorHAnsi"/>
                <w:b/>
                <w:sz w:val="24"/>
                <w:szCs w:val="24"/>
              </w:rPr>
              <w:t xml:space="preserve">wyjaśniając pozostałe kwestie należy wskazać, że </w:t>
            </w:r>
            <w:r w:rsidRPr="00C2523C">
              <w:rPr>
                <w:rFonts w:cstheme="minorHAnsi"/>
                <w:sz w:val="24"/>
                <w:szCs w:val="24"/>
              </w:rPr>
              <w:t>z</w:t>
            </w:r>
            <w:r w:rsidR="00566AE2" w:rsidRPr="00C2523C">
              <w:rPr>
                <w:rFonts w:cstheme="minorHAnsi"/>
                <w:sz w:val="24"/>
                <w:szCs w:val="24"/>
              </w:rPr>
              <w:t xml:space="preserve">godnie z art. 3 ust. 2 </w:t>
            </w:r>
            <w:r w:rsidR="00081F73" w:rsidRPr="00C2523C">
              <w:rPr>
                <w:rFonts w:cstheme="minorHAnsi"/>
                <w:sz w:val="24"/>
                <w:szCs w:val="24"/>
              </w:rPr>
              <w:t>p</w:t>
            </w:r>
            <w:r w:rsidR="00566AE2" w:rsidRPr="00C2523C">
              <w:rPr>
                <w:rFonts w:cstheme="minorHAnsi"/>
                <w:sz w:val="24"/>
                <w:szCs w:val="24"/>
              </w:rPr>
              <w:t xml:space="preserve">rzedsiębiorca telekomunikacyjny jest obowiązany do podejmowania proporcjonalnych środków technicznych i organizacyjnych </w:t>
            </w:r>
            <w:r w:rsidR="00566AE2" w:rsidRPr="00C2523C">
              <w:rPr>
                <w:rFonts w:cstheme="minorHAnsi"/>
                <w:sz w:val="24"/>
                <w:szCs w:val="24"/>
              </w:rPr>
              <w:lastRenderedPageBreak/>
              <w:t xml:space="preserve">mających na celu zapobieganie nadużyciom w komunikacji elektronicznej i ich zwalczanie. Z tego względu konieczne jest również nadanie uprawnienia do blokowania sms’ów </w:t>
            </w:r>
            <w:r w:rsidR="00566AE2" w:rsidRPr="00C2523C">
              <w:rPr>
                <w:sz w:val="24"/>
                <w:szCs w:val="24"/>
              </w:rPr>
              <w:t>zawierających treści wyczerpujące znamiona smishingu, inne niż zawarte we wzorcu wiadomości, o którym mowa w art. 4 ust. 3, za pomocą systemu teleinformatycznego pozwalającego na automatyczną identyfikację takich krótkich wiadomości tekstowych (SMS)</w:t>
            </w:r>
            <w:r w:rsidR="00873389" w:rsidRPr="00C2523C">
              <w:rPr>
                <w:sz w:val="24"/>
                <w:szCs w:val="24"/>
              </w:rPr>
              <w:t xml:space="preserve"> oraz wiadomości MMS</w:t>
            </w:r>
            <w:r w:rsidR="00566AE2" w:rsidRPr="00C2523C">
              <w:rPr>
                <w:sz w:val="24"/>
                <w:szCs w:val="24"/>
              </w:rPr>
              <w:t xml:space="preserve">. </w:t>
            </w:r>
          </w:p>
          <w:p w14:paraId="2A5B0013" w14:textId="1FCC96D9" w:rsidR="00BF24F1" w:rsidRPr="00C2523C" w:rsidRDefault="00566AE2" w:rsidP="00081F73">
            <w:pPr>
              <w:rPr>
                <w:rFonts w:cstheme="minorHAnsi"/>
                <w:sz w:val="24"/>
                <w:szCs w:val="24"/>
              </w:rPr>
            </w:pPr>
            <w:r w:rsidRPr="00C2523C">
              <w:rPr>
                <w:sz w:val="24"/>
                <w:szCs w:val="24"/>
              </w:rPr>
              <w:t>Biorąc pod uwagę praktykę funkcjonowania rynku telekomunikacyjnego, takie działania mogą powodować odpowiedzialność kontraktową, więc nie jest uzasadnione wprowadzenie szczegółowej regulacji, o któr</w:t>
            </w:r>
            <w:r w:rsidR="00081F73" w:rsidRPr="00C2523C">
              <w:rPr>
                <w:sz w:val="24"/>
                <w:szCs w:val="24"/>
              </w:rPr>
              <w:t>ej</w:t>
            </w:r>
            <w:r w:rsidRPr="00C2523C">
              <w:rPr>
                <w:sz w:val="24"/>
                <w:szCs w:val="24"/>
              </w:rPr>
              <w:t xml:space="preserve"> mowa w uwadze.</w:t>
            </w:r>
          </w:p>
        </w:tc>
      </w:tr>
      <w:tr w:rsidR="00C2523C" w:rsidRPr="00C2523C" w14:paraId="4940E449" w14:textId="77777777" w:rsidTr="002F0E46">
        <w:tc>
          <w:tcPr>
            <w:tcW w:w="750" w:type="dxa"/>
          </w:tcPr>
          <w:p w14:paraId="5D1E3D9D" w14:textId="77777777" w:rsidR="00627393" w:rsidRPr="00C2523C" w:rsidRDefault="00627393"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6C2EA9F1" w14:textId="6395A792" w:rsidR="00627393" w:rsidRPr="00C2523C" w:rsidRDefault="00627393" w:rsidP="00277373">
            <w:pPr>
              <w:rPr>
                <w:rFonts w:cstheme="minorHAnsi"/>
                <w:sz w:val="24"/>
                <w:szCs w:val="24"/>
              </w:rPr>
            </w:pPr>
            <w:r w:rsidRPr="00C2523C">
              <w:rPr>
                <w:rFonts w:cstheme="minorHAnsi"/>
                <w:sz w:val="24"/>
                <w:szCs w:val="24"/>
              </w:rPr>
              <w:t>MKSS</w:t>
            </w:r>
          </w:p>
        </w:tc>
        <w:tc>
          <w:tcPr>
            <w:tcW w:w="1328" w:type="dxa"/>
          </w:tcPr>
          <w:p w14:paraId="553A70B2" w14:textId="4E1EF664" w:rsidR="00627393" w:rsidRPr="00C2523C" w:rsidRDefault="00627393" w:rsidP="00277373">
            <w:pPr>
              <w:rPr>
                <w:rFonts w:cstheme="minorHAnsi"/>
                <w:sz w:val="24"/>
                <w:szCs w:val="24"/>
              </w:rPr>
            </w:pPr>
            <w:r w:rsidRPr="00C2523C">
              <w:rPr>
                <w:rFonts w:cstheme="minorHAnsi"/>
                <w:sz w:val="24"/>
                <w:szCs w:val="24"/>
              </w:rPr>
              <w:t xml:space="preserve">Art. 7 </w:t>
            </w:r>
          </w:p>
        </w:tc>
        <w:tc>
          <w:tcPr>
            <w:tcW w:w="7229" w:type="dxa"/>
          </w:tcPr>
          <w:p w14:paraId="14DF37D7" w14:textId="77777777" w:rsidR="00627393" w:rsidRPr="00C2523C" w:rsidRDefault="00627393" w:rsidP="00627393">
            <w:pPr>
              <w:autoSpaceDE w:val="0"/>
              <w:autoSpaceDN w:val="0"/>
              <w:adjustRightInd w:val="0"/>
              <w:rPr>
                <w:rFonts w:cstheme="minorHAnsi"/>
                <w:sz w:val="24"/>
                <w:szCs w:val="24"/>
              </w:rPr>
            </w:pPr>
            <w:r w:rsidRPr="00C2523C">
              <w:rPr>
                <w:rFonts w:cstheme="minorHAnsi"/>
                <w:sz w:val="24"/>
                <w:szCs w:val="24"/>
              </w:rPr>
              <w:t xml:space="preserve">Dodatkowo należy zwrócić uwagę, że w projektowanym art. 7 zawarto rozwiązanie pozwalające operatorowi telekomunikacyjnemu na blokowanie krótkich wiadomości tekstowych (SMS) zawierających znamiona </w:t>
            </w:r>
            <w:r w:rsidRPr="00C2523C">
              <w:rPr>
                <w:rFonts w:cstheme="minorHAnsi"/>
                <w:i/>
                <w:sz w:val="24"/>
                <w:szCs w:val="24"/>
              </w:rPr>
              <w:t>smishingu</w:t>
            </w:r>
            <w:r w:rsidRPr="00C2523C">
              <w:rPr>
                <w:rFonts w:cstheme="minorHAnsi"/>
                <w:sz w:val="24"/>
                <w:szCs w:val="24"/>
              </w:rPr>
              <w:t xml:space="preserve">, innych niż te zawarte we wzorcu wiadomości sporządzonym przez CSIRT NASK. We wskazanej jednostce redakcyjnej </w:t>
            </w:r>
            <w:r w:rsidRPr="00C2523C">
              <w:rPr>
                <w:rFonts w:cstheme="minorHAnsi"/>
                <w:sz w:val="24"/>
                <w:szCs w:val="24"/>
              </w:rPr>
              <w:lastRenderedPageBreak/>
              <w:t xml:space="preserve">nie zawarto jednak mechanizmu kontrolnego oraz odwoławczego, tj. rozwiązań analogicznych w stosunku do działań podejmowanych przez CSIRT NASK, w przypadku uznania danej wiadomości za </w:t>
            </w:r>
            <w:r w:rsidRPr="00C2523C">
              <w:rPr>
                <w:rFonts w:cstheme="minorHAnsi"/>
                <w:i/>
                <w:sz w:val="24"/>
                <w:szCs w:val="24"/>
              </w:rPr>
              <w:t>smishing</w:t>
            </w:r>
            <w:r w:rsidRPr="00C2523C">
              <w:rPr>
                <w:rFonts w:cstheme="minorHAnsi"/>
                <w:sz w:val="24"/>
                <w:szCs w:val="24"/>
              </w:rPr>
              <w:t>. Z tego powodu, w celu uspójnienia tworzonych regulacji w zakresie kwestii kontrolnych i odwoławczych, proponuję uzupełnienie przepisów we wskazanym zakresie.</w:t>
            </w:r>
          </w:p>
          <w:p w14:paraId="3E02371A" w14:textId="77777777" w:rsidR="00627393" w:rsidRPr="00C2523C" w:rsidRDefault="00627393">
            <w:pPr>
              <w:autoSpaceDE w:val="0"/>
              <w:autoSpaceDN w:val="0"/>
              <w:adjustRightInd w:val="0"/>
              <w:rPr>
                <w:rFonts w:cstheme="minorHAnsi"/>
                <w:sz w:val="24"/>
                <w:szCs w:val="24"/>
              </w:rPr>
            </w:pPr>
          </w:p>
        </w:tc>
        <w:tc>
          <w:tcPr>
            <w:tcW w:w="3509" w:type="dxa"/>
          </w:tcPr>
          <w:p w14:paraId="7D51D802" w14:textId="06C3D88E" w:rsidR="00627393" w:rsidRPr="00C2523C" w:rsidRDefault="00384BB8" w:rsidP="00277373">
            <w:pPr>
              <w:rPr>
                <w:rFonts w:cstheme="minorHAnsi"/>
                <w:b/>
                <w:sz w:val="24"/>
                <w:szCs w:val="24"/>
              </w:rPr>
            </w:pPr>
            <w:r w:rsidRPr="00C2523C">
              <w:rPr>
                <w:rFonts w:cstheme="minorHAnsi"/>
                <w:b/>
                <w:sz w:val="24"/>
                <w:szCs w:val="24"/>
              </w:rPr>
              <w:lastRenderedPageBreak/>
              <w:t>Uwaga wyjaśniona</w:t>
            </w:r>
          </w:p>
          <w:p w14:paraId="7608C37F" w14:textId="615E23C0" w:rsidR="00627393" w:rsidRPr="00C2523C" w:rsidRDefault="00627393" w:rsidP="00277373">
            <w:pPr>
              <w:rPr>
                <w:rFonts w:cstheme="minorHAnsi"/>
                <w:sz w:val="24"/>
                <w:szCs w:val="24"/>
              </w:rPr>
            </w:pPr>
            <w:r w:rsidRPr="00C2523C">
              <w:rPr>
                <w:rFonts w:cstheme="minorHAnsi"/>
                <w:sz w:val="24"/>
                <w:szCs w:val="24"/>
              </w:rPr>
              <w:t xml:space="preserve">W przypadku zablokowania sprzeciwu na podst. art. 7 użytkownik końcowy będzie mógł </w:t>
            </w:r>
            <w:r w:rsidRPr="00C2523C">
              <w:rPr>
                <w:rFonts w:cstheme="minorHAnsi"/>
                <w:sz w:val="24"/>
                <w:szCs w:val="24"/>
              </w:rPr>
              <w:lastRenderedPageBreak/>
              <w:t>skorzystać z reklamacji na ogólnych zasadach.</w:t>
            </w:r>
          </w:p>
        </w:tc>
      </w:tr>
      <w:tr w:rsidR="00C2523C" w:rsidRPr="00C2523C" w14:paraId="72A8F018" w14:textId="77777777" w:rsidTr="002F0E46">
        <w:tc>
          <w:tcPr>
            <w:tcW w:w="750" w:type="dxa"/>
          </w:tcPr>
          <w:p w14:paraId="53D71B91" w14:textId="47D8D32A" w:rsidR="00BF24F1" w:rsidRPr="00C2523C" w:rsidRDefault="00BF24F1"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7E4979C4" w14:textId="25DF5473" w:rsidR="00BF24F1" w:rsidRPr="00C2523C" w:rsidRDefault="00BF24F1" w:rsidP="00277373">
            <w:pPr>
              <w:rPr>
                <w:rFonts w:cstheme="minorHAnsi"/>
                <w:sz w:val="24"/>
                <w:szCs w:val="24"/>
              </w:rPr>
            </w:pPr>
            <w:r w:rsidRPr="00C2523C">
              <w:rPr>
                <w:rFonts w:cstheme="minorHAnsi"/>
                <w:sz w:val="24"/>
                <w:szCs w:val="24"/>
              </w:rPr>
              <w:t>RCL</w:t>
            </w:r>
          </w:p>
        </w:tc>
        <w:tc>
          <w:tcPr>
            <w:tcW w:w="1328" w:type="dxa"/>
          </w:tcPr>
          <w:p w14:paraId="63D14A37" w14:textId="13E8C35F" w:rsidR="00BF24F1" w:rsidRPr="00C2523C" w:rsidRDefault="00BF24F1" w:rsidP="00277373">
            <w:pPr>
              <w:rPr>
                <w:rFonts w:cstheme="minorHAnsi"/>
                <w:sz w:val="24"/>
                <w:szCs w:val="24"/>
              </w:rPr>
            </w:pPr>
            <w:r w:rsidRPr="00C2523C">
              <w:rPr>
                <w:rFonts w:cstheme="minorHAnsi"/>
                <w:sz w:val="24"/>
                <w:szCs w:val="24"/>
              </w:rPr>
              <w:t>Art. 8</w:t>
            </w:r>
          </w:p>
        </w:tc>
        <w:tc>
          <w:tcPr>
            <w:tcW w:w="7229" w:type="dxa"/>
          </w:tcPr>
          <w:p w14:paraId="6F18FD1D" w14:textId="22576B45" w:rsidR="00BF24F1" w:rsidRPr="00C2523C" w:rsidRDefault="00BF24F1" w:rsidP="00847111">
            <w:pPr>
              <w:autoSpaceDE w:val="0"/>
              <w:autoSpaceDN w:val="0"/>
              <w:adjustRightInd w:val="0"/>
              <w:rPr>
                <w:rFonts w:cstheme="minorHAnsi"/>
                <w:sz w:val="24"/>
                <w:szCs w:val="24"/>
              </w:rPr>
            </w:pPr>
            <w:r w:rsidRPr="00C2523C">
              <w:rPr>
                <w:rFonts w:cstheme="minorHAnsi"/>
                <w:sz w:val="24"/>
                <w:szCs w:val="24"/>
              </w:rPr>
              <w:t>odnosząc się do projektowanego art. 8 także należy wskazać, że nakładając</w:t>
            </w:r>
            <w:r w:rsidR="006A3FA5" w:rsidRPr="00C2523C">
              <w:rPr>
                <w:rFonts w:cstheme="minorHAnsi"/>
                <w:sz w:val="24"/>
                <w:szCs w:val="24"/>
              </w:rPr>
              <w:t xml:space="preserve"> </w:t>
            </w:r>
            <w:r w:rsidRPr="00C2523C">
              <w:rPr>
                <w:rFonts w:cstheme="minorHAnsi"/>
                <w:sz w:val="24"/>
                <w:szCs w:val="24"/>
              </w:rPr>
              <w:t>obowiązek blokowania połączenia głosowego bądź ukrywania identyfikacji numeru</w:t>
            </w:r>
            <w:r w:rsidR="006A3FA5" w:rsidRPr="00C2523C">
              <w:rPr>
                <w:rFonts w:cstheme="minorHAnsi"/>
                <w:sz w:val="24"/>
                <w:szCs w:val="24"/>
              </w:rPr>
              <w:t xml:space="preserve"> </w:t>
            </w:r>
            <w:r w:rsidRPr="00C2523C">
              <w:rPr>
                <w:rFonts w:cstheme="minorHAnsi"/>
                <w:sz w:val="24"/>
                <w:szCs w:val="24"/>
              </w:rPr>
              <w:t>wywołującego Projektodawca nie określił procedury podejmowania takiej decyzji przez</w:t>
            </w:r>
            <w:r w:rsidR="006A3FA5" w:rsidRPr="00C2523C">
              <w:rPr>
                <w:rFonts w:cstheme="minorHAnsi"/>
                <w:sz w:val="24"/>
                <w:szCs w:val="24"/>
              </w:rPr>
              <w:t xml:space="preserve"> </w:t>
            </w:r>
            <w:r w:rsidRPr="00C2523C">
              <w:rPr>
                <w:rFonts w:cstheme="minorHAnsi"/>
                <w:sz w:val="24"/>
                <w:szCs w:val="24"/>
              </w:rPr>
              <w:t>przedsiębiorcę telekomunikacyjnego, nie wskazał, w jakich okolicznościach i przypadkach</w:t>
            </w:r>
            <w:r w:rsidR="006A3FA5" w:rsidRPr="00C2523C">
              <w:rPr>
                <w:rFonts w:cstheme="minorHAnsi"/>
                <w:sz w:val="24"/>
                <w:szCs w:val="24"/>
              </w:rPr>
              <w:t xml:space="preserve"> </w:t>
            </w:r>
            <w:r w:rsidRPr="00C2523C">
              <w:rPr>
                <w:rFonts w:cstheme="minorHAnsi"/>
                <w:sz w:val="24"/>
                <w:szCs w:val="24"/>
              </w:rPr>
              <w:t>numery są blokowane, a w jakich ukrywa się identyfikację numeru, czy od podjętej decyzji</w:t>
            </w:r>
            <w:r w:rsidR="006A3FA5" w:rsidRPr="00C2523C">
              <w:rPr>
                <w:rFonts w:cstheme="minorHAnsi"/>
                <w:sz w:val="24"/>
                <w:szCs w:val="24"/>
              </w:rPr>
              <w:t xml:space="preserve"> </w:t>
            </w:r>
            <w:r w:rsidRPr="00C2523C">
              <w:rPr>
                <w:rFonts w:cstheme="minorHAnsi"/>
                <w:sz w:val="24"/>
                <w:szCs w:val="24"/>
              </w:rPr>
              <w:t>podmiot, którego numer zablokowano, może się odwołać, czy jest zawiadamiany o podjętych</w:t>
            </w:r>
            <w:r w:rsidR="006A3FA5" w:rsidRPr="00C2523C">
              <w:rPr>
                <w:rFonts w:cstheme="minorHAnsi"/>
                <w:sz w:val="24"/>
                <w:szCs w:val="24"/>
              </w:rPr>
              <w:t xml:space="preserve"> </w:t>
            </w:r>
            <w:r w:rsidRPr="00C2523C">
              <w:rPr>
                <w:rFonts w:cstheme="minorHAnsi"/>
                <w:sz w:val="24"/>
                <w:szCs w:val="24"/>
              </w:rPr>
              <w:t>rozstrzygnięciach, a także, czy informacje o zablokowanych numerach trafiają do systemu</w:t>
            </w:r>
            <w:r w:rsidR="006A3FA5" w:rsidRPr="00C2523C">
              <w:rPr>
                <w:rFonts w:cstheme="minorHAnsi"/>
                <w:sz w:val="24"/>
                <w:szCs w:val="24"/>
              </w:rPr>
              <w:t xml:space="preserve"> </w:t>
            </w:r>
            <w:r w:rsidRPr="00C2523C">
              <w:rPr>
                <w:rFonts w:cstheme="minorHAnsi"/>
                <w:sz w:val="24"/>
                <w:szCs w:val="24"/>
              </w:rPr>
              <w:t>teleinformatycznego, do którego dostęp mają podmioty wskazane w art. 4 ust. 3 projektu;</w:t>
            </w:r>
          </w:p>
        </w:tc>
        <w:tc>
          <w:tcPr>
            <w:tcW w:w="3509" w:type="dxa"/>
          </w:tcPr>
          <w:p w14:paraId="2FF0E9EC" w14:textId="079BE592" w:rsidR="000E2F68" w:rsidRPr="00C2523C" w:rsidRDefault="000E2F68" w:rsidP="00277373">
            <w:pPr>
              <w:rPr>
                <w:rFonts w:cstheme="minorHAnsi"/>
                <w:b/>
                <w:sz w:val="24"/>
                <w:szCs w:val="24"/>
              </w:rPr>
            </w:pPr>
            <w:r w:rsidRPr="00C2523C">
              <w:rPr>
                <w:rFonts w:cstheme="minorHAnsi"/>
                <w:b/>
                <w:sz w:val="24"/>
                <w:szCs w:val="24"/>
              </w:rPr>
              <w:t>Uwag</w:t>
            </w:r>
            <w:r w:rsidR="008B14A0">
              <w:rPr>
                <w:rFonts w:cstheme="minorHAnsi"/>
                <w:b/>
                <w:sz w:val="24"/>
                <w:szCs w:val="24"/>
              </w:rPr>
              <w:t>a</w:t>
            </w:r>
            <w:r w:rsidRPr="00C2523C">
              <w:rPr>
                <w:rFonts w:cstheme="minorHAnsi"/>
                <w:b/>
                <w:sz w:val="24"/>
                <w:szCs w:val="24"/>
              </w:rPr>
              <w:t xml:space="preserve"> wyjaśnion</w:t>
            </w:r>
            <w:r w:rsidR="008B14A0">
              <w:rPr>
                <w:rFonts w:cstheme="minorHAnsi"/>
                <w:b/>
                <w:sz w:val="24"/>
                <w:szCs w:val="24"/>
              </w:rPr>
              <w:t>a</w:t>
            </w:r>
          </w:p>
          <w:p w14:paraId="2BB8D643" w14:textId="0EBB0BF0" w:rsidR="00975CCE" w:rsidRPr="00C2523C" w:rsidRDefault="000E2F68" w:rsidP="00277373">
            <w:pPr>
              <w:rPr>
                <w:sz w:val="24"/>
                <w:szCs w:val="24"/>
              </w:rPr>
            </w:pPr>
            <w:r w:rsidRPr="00C2523C">
              <w:rPr>
                <w:rFonts w:cstheme="minorHAnsi"/>
                <w:sz w:val="24"/>
                <w:szCs w:val="24"/>
              </w:rPr>
              <w:t>Blokowanie połączenia głosowego jako środka dalej idącego od ukrycia identyfikacj</w:t>
            </w:r>
            <w:r w:rsidR="0012385F" w:rsidRPr="00C2523C">
              <w:rPr>
                <w:rFonts w:cstheme="minorHAnsi"/>
                <w:sz w:val="24"/>
                <w:szCs w:val="24"/>
              </w:rPr>
              <w:t>i</w:t>
            </w:r>
            <w:r w:rsidRPr="00C2523C">
              <w:rPr>
                <w:rFonts w:cstheme="minorHAnsi"/>
                <w:sz w:val="24"/>
                <w:szCs w:val="24"/>
              </w:rPr>
              <w:t xml:space="preserve"> numeru wywołującego dla użytkownika końcowego, powinno być stosowane, kiedy prawdopodobieństwo, że dochodzi do spoofingu jest </w:t>
            </w:r>
            <w:r w:rsidR="00975CCE" w:rsidRPr="00C2523C">
              <w:rPr>
                <w:rFonts w:cstheme="minorHAnsi"/>
                <w:sz w:val="24"/>
                <w:szCs w:val="24"/>
              </w:rPr>
              <w:t>bardzo wysokie lub wysokie</w:t>
            </w:r>
            <w:r w:rsidRPr="00C2523C">
              <w:rPr>
                <w:rFonts w:cstheme="minorHAnsi"/>
                <w:sz w:val="24"/>
                <w:szCs w:val="24"/>
              </w:rPr>
              <w:t xml:space="preserve">. W pozostałych przypadkach przedsiębiorca telekomunikacyjny powinien </w:t>
            </w:r>
            <w:r w:rsidR="00975CCE" w:rsidRPr="00C2523C">
              <w:rPr>
                <w:sz w:val="24"/>
                <w:szCs w:val="24"/>
              </w:rPr>
              <w:t>ukryć</w:t>
            </w:r>
            <w:r w:rsidRPr="00C2523C">
              <w:rPr>
                <w:sz w:val="24"/>
                <w:szCs w:val="24"/>
              </w:rPr>
              <w:t xml:space="preserve"> identyfikację numeru wywołującego dla użytkownika końcowego</w:t>
            </w:r>
            <w:r w:rsidR="00975CCE" w:rsidRPr="00C2523C">
              <w:rPr>
                <w:sz w:val="24"/>
                <w:szCs w:val="24"/>
              </w:rPr>
              <w:t>.</w:t>
            </w:r>
          </w:p>
          <w:p w14:paraId="2CB33946" w14:textId="11AD3063" w:rsidR="00BF24F1" w:rsidRPr="00C2523C" w:rsidRDefault="00975CCE" w:rsidP="0012385F">
            <w:pPr>
              <w:rPr>
                <w:rFonts w:cstheme="minorHAnsi"/>
                <w:sz w:val="24"/>
                <w:szCs w:val="24"/>
              </w:rPr>
            </w:pPr>
            <w:r w:rsidRPr="00C2523C">
              <w:rPr>
                <w:sz w:val="24"/>
                <w:szCs w:val="24"/>
              </w:rPr>
              <w:t xml:space="preserve">Z definicji CLI Spoofing </w:t>
            </w:r>
            <w:r w:rsidR="0012385F" w:rsidRPr="00C2523C">
              <w:rPr>
                <w:sz w:val="24"/>
                <w:szCs w:val="24"/>
              </w:rPr>
              <w:t>wynika, że jest to</w:t>
            </w:r>
            <w:r w:rsidRPr="00C2523C">
              <w:rPr>
                <w:sz w:val="24"/>
                <w:szCs w:val="24"/>
              </w:rPr>
              <w:t xml:space="preserve"> nieuprawnione posłużeni</w:t>
            </w:r>
            <w:r w:rsidR="0012385F" w:rsidRPr="00C2523C">
              <w:rPr>
                <w:sz w:val="24"/>
                <w:szCs w:val="24"/>
              </w:rPr>
              <w:t>e</w:t>
            </w:r>
            <w:r w:rsidRPr="00C2523C">
              <w:rPr>
                <w:sz w:val="24"/>
                <w:szCs w:val="24"/>
              </w:rPr>
              <w:t xml:space="preserve"> się przez użytkownika wywołującego połączenie głosowe informacją adresową wskazującą na osobę lub jednostkę organizacyjną inną niż </w:t>
            </w:r>
            <w:r w:rsidRPr="00C2523C">
              <w:rPr>
                <w:sz w:val="24"/>
                <w:szCs w:val="24"/>
              </w:rPr>
              <w:lastRenderedPageBreak/>
              <w:t>ten użytkownik, więc nie jest celowe ani nie wydaje się proporcjonalne nakładanie obowiązku informacyjnego wobec dysponenta numeru. Nie dotyczy więc to „blokowania numerów” jak jest wskazane w uwadze, a blokowania „połączeń głosowych”.</w:t>
            </w:r>
          </w:p>
        </w:tc>
      </w:tr>
      <w:tr w:rsidR="00C2523C" w:rsidRPr="00C2523C" w14:paraId="44A197CC" w14:textId="77777777" w:rsidTr="002F0E46">
        <w:tc>
          <w:tcPr>
            <w:tcW w:w="750" w:type="dxa"/>
          </w:tcPr>
          <w:p w14:paraId="0003E218" w14:textId="6D00973D"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30055E2E" w14:textId="61615AA8"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58FACBAD" w14:textId="4F181B11" w:rsidR="0041244E" w:rsidRPr="00C2523C" w:rsidRDefault="0041244E" w:rsidP="00277373">
            <w:pPr>
              <w:rPr>
                <w:rFonts w:cstheme="minorHAnsi"/>
                <w:sz w:val="24"/>
                <w:szCs w:val="24"/>
              </w:rPr>
            </w:pPr>
            <w:r w:rsidRPr="00C2523C">
              <w:rPr>
                <w:rFonts w:cstheme="minorHAnsi"/>
                <w:sz w:val="24"/>
                <w:szCs w:val="24"/>
              </w:rPr>
              <w:t>Art. 9</w:t>
            </w:r>
          </w:p>
        </w:tc>
        <w:tc>
          <w:tcPr>
            <w:tcW w:w="7229" w:type="dxa"/>
          </w:tcPr>
          <w:p w14:paraId="0063318E" w14:textId="7777777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13) w przypadku art. 9:</w:t>
            </w:r>
          </w:p>
          <w:p w14:paraId="610B9E56" w14:textId="5AF24683"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a) wskazania wymaga, w który punkt zakresu spraw regulowanych projektowaną</w:t>
            </w:r>
            <w:r w:rsidR="00C37DCA" w:rsidRPr="00C2523C">
              <w:rPr>
                <w:rFonts w:cstheme="minorHAnsi"/>
                <w:sz w:val="24"/>
                <w:szCs w:val="24"/>
              </w:rPr>
              <w:t xml:space="preserve"> </w:t>
            </w:r>
            <w:r w:rsidRPr="00C2523C">
              <w:rPr>
                <w:rFonts w:cstheme="minorHAnsi"/>
                <w:sz w:val="24"/>
                <w:szCs w:val="24"/>
              </w:rPr>
              <w:t>ustawą, zawartego w art. 1 projektu, wpisuje się regulacja dotycząca prowadzenia przez</w:t>
            </w:r>
            <w:r w:rsidR="00C37DCA" w:rsidRPr="00C2523C">
              <w:rPr>
                <w:rFonts w:cstheme="minorHAnsi"/>
                <w:sz w:val="24"/>
                <w:szCs w:val="24"/>
              </w:rPr>
              <w:t xml:space="preserve"> </w:t>
            </w:r>
            <w:r w:rsidRPr="00C2523C">
              <w:rPr>
                <w:rFonts w:cstheme="minorHAnsi"/>
                <w:sz w:val="24"/>
                <w:szCs w:val="24"/>
              </w:rPr>
              <w:t>Prezesa UKE jawnego wykazu numerów telefonów. Wydaje się bowiem, że nakładanie</w:t>
            </w:r>
            <w:r w:rsidR="00C37DCA" w:rsidRPr="00C2523C">
              <w:rPr>
                <w:rFonts w:cstheme="minorHAnsi"/>
                <w:sz w:val="24"/>
                <w:szCs w:val="24"/>
              </w:rPr>
              <w:t xml:space="preserve"> </w:t>
            </w:r>
            <w:r w:rsidRPr="00C2523C">
              <w:rPr>
                <w:rFonts w:cstheme="minorHAnsi"/>
                <w:sz w:val="24"/>
                <w:szCs w:val="24"/>
              </w:rPr>
              <w:t>zarówno tego jak i innych obowiązków na Prezesa UKE nie leży w zakresie spraw</w:t>
            </w:r>
            <w:r w:rsidR="0012385F" w:rsidRPr="00C2523C">
              <w:rPr>
                <w:rFonts w:cstheme="minorHAnsi"/>
                <w:sz w:val="24"/>
                <w:szCs w:val="24"/>
              </w:rPr>
              <w:t xml:space="preserve"> </w:t>
            </w:r>
            <w:r w:rsidRPr="00C2523C">
              <w:rPr>
                <w:rFonts w:cstheme="minorHAnsi"/>
                <w:sz w:val="24"/>
                <w:szCs w:val="24"/>
              </w:rPr>
              <w:t>regulowanych projektem ustawy, co wymaga uzupełnienia,</w:t>
            </w:r>
          </w:p>
          <w:p w14:paraId="1487AF73" w14:textId="1724C212"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b) wyjaśnienia wymaga, w jaki sposób Prezes UKE prowadzi jawny wykaz numerów</w:t>
            </w:r>
            <w:r w:rsidR="00C37DCA" w:rsidRPr="00C2523C">
              <w:rPr>
                <w:rFonts w:cstheme="minorHAnsi"/>
                <w:sz w:val="24"/>
                <w:szCs w:val="24"/>
              </w:rPr>
              <w:t xml:space="preserve"> </w:t>
            </w:r>
            <w:r w:rsidRPr="00C2523C">
              <w:rPr>
                <w:rFonts w:cstheme="minorHAnsi"/>
                <w:sz w:val="24"/>
                <w:szCs w:val="24"/>
              </w:rPr>
              <w:t>telefonów – uzasadnienie w tym zakresie wskazuje, że jest on prowadzony w systemie</w:t>
            </w:r>
            <w:r w:rsidR="00C37DCA" w:rsidRPr="00C2523C">
              <w:rPr>
                <w:rFonts w:cstheme="minorHAnsi"/>
                <w:sz w:val="24"/>
                <w:szCs w:val="24"/>
              </w:rPr>
              <w:t xml:space="preserve"> </w:t>
            </w:r>
            <w:r w:rsidRPr="00C2523C">
              <w:rPr>
                <w:rFonts w:cstheme="minorHAnsi"/>
                <w:sz w:val="24"/>
                <w:szCs w:val="24"/>
              </w:rPr>
              <w:t>teleinformatycznym Prezesa UKE – powyższe nie znajduje jednak odzwierciedlenia</w:t>
            </w:r>
            <w:r w:rsidR="00C37DCA" w:rsidRPr="00C2523C">
              <w:rPr>
                <w:rFonts w:cstheme="minorHAnsi"/>
                <w:sz w:val="24"/>
                <w:szCs w:val="24"/>
              </w:rPr>
              <w:t xml:space="preserve"> </w:t>
            </w:r>
            <w:r w:rsidRPr="00C2523C">
              <w:rPr>
                <w:rFonts w:cstheme="minorHAnsi"/>
                <w:sz w:val="24"/>
                <w:szCs w:val="24"/>
              </w:rPr>
              <w:t xml:space="preserve">w projekcie, co wymaga uzupełnienia. </w:t>
            </w:r>
            <w:r w:rsidR="00C37DCA" w:rsidRPr="00C2523C">
              <w:rPr>
                <w:rFonts w:cstheme="minorHAnsi"/>
                <w:sz w:val="24"/>
                <w:szCs w:val="24"/>
              </w:rPr>
              <w:br/>
            </w:r>
            <w:r w:rsidRPr="00C2523C">
              <w:rPr>
                <w:rFonts w:cstheme="minorHAnsi"/>
                <w:sz w:val="24"/>
                <w:szCs w:val="24"/>
              </w:rPr>
              <w:t>Wyjaśnienia także wymaga, czy wykaz ten jest</w:t>
            </w:r>
            <w:r w:rsidR="00C37DCA" w:rsidRPr="00C2523C">
              <w:rPr>
                <w:rFonts w:cstheme="minorHAnsi"/>
                <w:sz w:val="24"/>
                <w:szCs w:val="24"/>
              </w:rPr>
              <w:t xml:space="preserve"> </w:t>
            </w:r>
            <w:r w:rsidRPr="00C2523C">
              <w:rPr>
                <w:rFonts w:cstheme="minorHAnsi"/>
                <w:sz w:val="24"/>
                <w:szCs w:val="24"/>
              </w:rPr>
              <w:t>rejestrem publicznym. Ponadto regulacja powinna wskazywać jakie dane są gromadzone</w:t>
            </w:r>
          </w:p>
          <w:p w14:paraId="34629B0E" w14:textId="7777777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w wykazie, a także określać cel prowadzenia wykazu,</w:t>
            </w:r>
          </w:p>
          <w:p w14:paraId="7D1B41FB" w14:textId="464FE615"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c) wyjaśnienia wymaga ograniczenie podmiotów, które mogą zgłosić wniosek o wpis do</w:t>
            </w:r>
            <w:r w:rsidR="00C37DCA" w:rsidRPr="00C2523C">
              <w:rPr>
                <w:rFonts w:cstheme="minorHAnsi"/>
                <w:sz w:val="24"/>
                <w:szCs w:val="24"/>
              </w:rPr>
              <w:t xml:space="preserve"> </w:t>
            </w:r>
            <w:r w:rsidRPr="00C2523C">
              <w:rPr>
                <w:rFonts w:cstheme="minorHAnsi"/>
                <w:sz w:val="24"/>
                <w:szCs w:val="24"/>
              </w:rPr>
              <w:t>wykazu numerów telefonów do jednostek sektora finansów publicznych, o których mowa</w:t>
            </w:r>
            <w:r w:rsidR="00C37DCA" w:rsidRPr="00C2523C">
              <w:rPr>
                <w:rFonts w:cstheme="minorHAnsi"/>
                <w:sz w:val="24"/>
                <w:szCs w:val="24"/>
              </w:rPr>
              <w:t xml:space="preserve"> </w:t>
            </w:r>
            <w:r w:rsidRPr="00C2523C">
              <w:rPr>
                <w:rFonts w:cstheme="minorHAnsi"/>
                <w:sz w:val="24"/>
                <w:szCs w:val="24"/>
              </w:rPr>
              <w:t>w art. 9 ustawy z dnia 27 sierpnia 2009 r. o finansach publicznych, banków oraz</w:t>
            </w:r>
          </w:p>
          <w:p w14:paraId="19BF43E8" w14:textId="7777777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przedsiębiorców telekomunikacyjnych, przy jednoczesnym pominięciu innych podmiotów</w:t>
            </w:r>
          </w:p>
          <w:p w14:paraId="6EE5C375" w14:textId="023A85D4"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lastRenderedPageBreak/>
              <w:t>posiadających numery służące wyłącznie do odbierania połączeń głosowych</w:t>
            </w:r>
            <w:r w:rsidR="00C37DCA" w:rsidRPr="00C2523C">
              <w:rPr>
                <w:rFonts w:cstheme="minorHAnsi"/>
                <w:sz w:val="24"/>
                <w:szCs w:val="24"/>
              </w:rPr>
              <w:t xml:space="preserve"> </w:t>
            </w:r>
            <w:r w:rsidRPr="00C2523C">
              <w:rPr>
                <w:rFonts w:cstheme="minorHAnsi"/>
                <w:sz w:val="24"/>
                <w:szCs w:val="24"/>
              </w:rPr>
              <w:t>np. spółdzielczych kas oszczędnościowo-kredytowych,</w:t>
            </w:r>
          </w:p>
          <w:p w14:paraId="6C8F7675" w14:textId="44B9073F"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d) doprecyzować należy dane, które należy podać we wniosku o wpis do wykazu,</w:t>
            </w:r>
            <w:r w:rsidR="00793716" w:rsidRPr="00C2523C">
              <w:rPr>
                <w:rFonts w:cstheme="minorHAnsi"/>
                <w:sz w:val="24"/>
                <w:szCs w:val="24"/>
              </w:rPr>
              <w:t xml:space="preserve"> </w:t>
            </w:r>
            <w:r w:rsidRPr="00C2523C">
              <w:rPr>
                <w:rFonts w:cstheme="minorHAnsi"/>
                <w:sz w:val="24"/>
                <w:szCs w:val="24"/>
              </w:rPr>
              <w:t>dotyczące wnioskodawcy – obecnie projektowany przepis art. 9 ust. 4 określa, że wniosek</w:t>
            </w:r>
            <w:r w:rsidR="00793716" w:rsidRPr="00C2523C">
              <w:rPr>
                <w:rFonts w:cstheme="minorHAnsi"/>
                <w:sz w:val="24"/>
                <w:szCs w:val="24"/>
              </w:rPr>
              <w:t xml:space="preserve"> </w:t>
            </w:r>
            <w:r w:rsidRPr="00C2523C">
              <w:rPr>
                <w:rFonts w:cstheme="minorHAnsi"/>
                <w:sz w:val="24"/>
                <w:szCs w:val="24"/>
              </w:rPr>
              <w:t>zawiera jedynie „wskazanie podmiotu”, co wydaje się być określeniem zbyt ogólnym,</w:t>
            </w:r>
          </w:p>
          <w:p w14:paraId="2AA7882A" w14:textId="0957E145"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e) w przypadku projektowanego ust. 6 proponuje się doprecyzować, że Prezes UKE</w:t>
            </w:r>
            <w:r w:rsidR="00793716" w:rsidRPr="00C2523C">
              <w:rPr>
                <w:rFonts w:cstheme="minorHAnsi"/>
                <w:sz w:val="24"/>
                <w:szCs w:val="24"/>
              </w:rPr>
              <w:t xml:space="preserve"> </w:t>
            </w:r>
            <w:r w:rsidRPr="00C2523C">
              <w:rPr>
                <w:rFonts w:cstheme="minorHAnsi"/>
                <w:sz w:val="24"/>
                <w:szCs w:val="24"/>
              </w:rPr>
              <w:t>dokonuje wpisu w terminie 5 dni od dnia otrzymania poprawnie wypełnionego/kompletnego</w:t>
            </w:r>
          </w:p>
          <w:p w14:paraId="28647FA8" w14:textId="0B69BE54" w:rsidR="0041244E" w:rsidRPr="00C2523C" w:rsidRDefault="0041244E" w:rsidP="00847111">
            <w:pPr>
              <w:autoSpaceDE w:val="0"/>
              <w:autoSpaceDN w:val="0"/>
              <w:adjustRightInd w:val="0"/>
              <w:rPr>
                <w:rFonts w:cstheme="minorHAnsi"/>
                <w:sz w:val="24"/>
                <w:szCs w:val="24"/>
              </w:rPr>
            </w:pPr>
            <w:r w:rsidRPr="00C2523C">
              <w:rPr>
                <w:rFonts w:cstheme="minorHAnsi"/>
                <w:sz w:val="24"/>
                <w:szCs w:val="24"/>
              </w:rPr>
              <w:t>wniosku o wpis,</w:t>
            </w:r>
            <w:r w:rsidR="00793716" w:rsidRPr="00C2523C">
              <w:rPr>
                <w:rFonts w:cstheme="minorHAnsi"/>
                <w:sz w:val="24"/>
                <w:szCs w:val="24"/>
              </w:rPr>
              <w:t xml:space="preserve"> </w:t>
            </w:r>
            <w:r w:rsidR="00793716" w:rsidRPr="00C2523C">
              <w:rPr>
                <w:rFonts w:cstheme="minorHAnsi"/>
                <w:sz w:val="24"/>
                <w:szCs w:val="24"/>
              </w:rPr>
              <w:br/>
            </w:r>
            <w:r w:rsidRPr="00C2523C">
              <w:rPr>
                <w:rFonts w:cstheme="minorHAnsi"/>
                <w:sz w:val="24"/>
                <w:szCs w:val="24"/>
              </w:rPr>
              <w:t>f) w przypadku ust. 9 doprecyzowania wymaga, że wycofanie dotyczy wycofania wpisu</w:t>
            </w:r>
            <w:r w:rsidR="00793716" w:rsidRPr="00C2523C">
              <w:rPr>
                <w:rFonts w:cstheme="minorHAnsi"/>
                <w:sz w:val="24"/>
                <w:szCs w:val="24"/>
              </w:rPr>
              <w:t xml:space="preserve"> </w:t>
            </w:r>
            <w:r w:rsidRPr="00C2523C">
              <w:rPr>
                <w:rFonts w:cstheme="minorHAnsi"/>
                <w:sz w:val="24"/>
                <w:szCs w:val="24"/>
              </w:rPr>
              <w:t>numeru z wykazu (wniosek o wycofanie numeru z wykazu), a nie wycofania wniosku,</w:t>
            </w:r>
            <w:r w:rsidR="00793716" w:rsidRPr="00C2523C">
              <w:rPr>
                <w:rFonts w:cstheme="minorHAnsi"/>
                <w:sz w:val="24"/>
                <w:szCs w:val="24"/>
              </w:rPr>
              <w:t xml:space="preserve"> </w:t>
            </w:r>
            <w:r w:rsidRPr="00C2523C">
              <w:rPr>
                <w:rFonts w:cstheme="minorHAnsi"/>
                <w:sz w:val="24"/>
                <w:szCs w:val="24"/>
              </w:rPr>
              <w:t>o którym mowa w ust. 2 i 3. Ponadto doregulować należy w projekcie elementy tego wniosku,</w:t>
            </w:r>
            <w:r w:rsidR="00847111" w:rsidRPr="00C2523C">
              <w:rPr>
                <w:rFonts w:cstheme="minorHAnsi"/>
                <w:sz w:val="24"/>
                <w:szCs w:val="24"/>
              </w:rPr>
              <w:t xml:space="preserve"> </w:t>
            </w:r>
            <w:r w:rsidRPr="00C2523C">
              <w:rPr>
                <w:rFonts w:cstheme="minorHAnsi"/>
                <w:sz w:val="24"/>
                <w:szCs w:val="24"/>
              </w:rPr>
              <w:t>podobnie jak w przypadku wniosku o wpis do wykazu;</w:t>
            </w:r>
          </w:p>
        </w:tc>
        <w:tc>
          <w:tcPr>
            <w:tcW w:w="3509" w:type="dxa"/>
          </w:tcPr>
          <w:p w14:paraId="15CC8B07" w14:textId="77777777" w:rsidR="00C37DCA" w:rsidRPr="00C2523C" w:rsidRDefault="008F633A">
            <w:pPr>
              <w:rPr>
                <w:rFonts w:cstheme="minorHAnsi"/>
                <w:b/>
                <w:sz w:val="24"/>
                <w:szCs w:val="24"/>
              </w:rPr>
            </w:pPr>
            <w:r w:rsidRPr="00C2523C">
              <w:rPr>
                <w:rFonts w:cstheme="minorHAnsi"/>
                <w:b/>
                <w:sz w:val="24"/>
                <w:szCs w:val="24"/>
              </w:rPr>
              <w:lastRenderedPageBreak/>
              <w:t xml:space="preserve">Uwaga uwzględniona w zakresie uzupełnienia </w:t>
            </w:r>
            <w:r w:rsidR="00D31719" w:rsidRPr="00C2523C">
              <w:rPr>
                <w:rFonts w:cstheme="minorHAnsi"/>
                <w:b/>
                <w:sz w:val="24"/>
                <w:szCs w:val="24"/>
              </w:rPr>
              <w:t xml:space="preserve">co określa ustawa, poprzez dodanie w </w:t>
            </w:r>
            <w:r w:rsidRPr="00C2523C">
              <w:rPr>
                <w:rFonts w:cstheme="minorHAnsi"/>
                <w:b/>
                <w:sz w:val="24"/>
                <w:szCs w:val="24"/>
              </w:rPr>
              <w:t>art. 1 pkt 1 odwoł</w:t>
            </w:r>
            <w:r w:rsidR="00D31719" w:rsidRPr="00C2523C">
              <w:rPr>
                <w:rFonts w:cstheme="minorHAnsi"/>
                <w:b/>
                <w:sz w:val="24"/>
                <w:szCs w:val="24"/>
              </w:rPr>
              <w:t xml:space="preserve">ania </w:t>
            </w:r>
            <w:r w:rsidRPr="00C2523C">
              <w:rPr>
                <w:rFonts w:cstheme="minorHAnsi"/>
                <w:b/>
                <w:sz w:val="24"/>
                <w:szCs w:val="24"/>
              </w:rPr>
              <w:t>do kompetencji Prezesa UKE</w:t>
            </w:r>
            <w:r w:rsidR="00C37DCA" w:rsidRPr="00C2523C">
              <w:rPr>
                <w:rFonts w:cstheme="minorHAnsi"/>
                <w:b/>
                <w:sz w:val="24"/>
                <w:szCs w:val="24"/>
              </w:rPr>
              <w:t xml:space="preserve"> (lit. a)</w:t>
            </w:r>
          </w:p>
          <w:p w14:paraId="4F73CC99" w14:textId="77777777" w:rsidR="00C37DCA" w:rsidRPr="00C2523C" w:rsidRDefault="00C37DCA">
            <w:pPr>
              <w:rPr>
                <w:rFonts w:cstheme="minorHAnsi"/>
                <w:b/>
                <w:sz w:val="24"/>
                <w:szCs w:val="24"/>
              </w:rPr>
            </w:pPr>
          </w:p>
          <w:p w14:paraId="36E37A89" w14:textId="303C4735" w:rsidR="0012385F" w:rsidRPr="00C2523C" w:rsidRDefault="0012385F">
            <w:pPr>
              <w:rPr>
                <w:rFonts w:cstheme="minorHAnsi"/>
                <w:b/>
                <w:sz w:val="24"/>
                <w:szCs w:val="24"/>
              </w:rPr>
            </w:pPr>
            <w:r w:rsidRPr="00C2523C">
              <w:rPr>
                <w:rFonts w:cstheme="minorHAnsi"/>
                <w:b/>
                <w:sz w:val="24"/>
                <w:szCs w:val="24"/>
              </w:rPr>
              <w:t>Uwaga częściowo uwzględniona (lit. b) poprzez dodanie przepisu określającego jakie dane zawiera wykaz.</w:t>
            </w:r>
          </w:p>
          <w:p w14:paraId="71FAFA94" w14:textId="77777777" w:rsidR="00BF72A3" w:rsidRPr="00C2523C" w:rsidRDefault="00BF72A3">
            <w:pPr>
              <w:rPr>
                <w:rFonts w:cstheme="minorHAnsi"/>
                <w:b/>
                <w:sz w:val="24"/>
                <w:szCs w:val="24"/>
              </w:rPr>
            </w:pPr>
          </w:p>
          <w:p w14:paraId="7C404544" w14:textId="77777777" w:rsidR="00793716" w:rsidRPr="00C2523C" w:rsidRDefault="00C37DCA">
            <w:pPr>
              <w:rPr>
                <w:rFonts w:cstheme="minorHAnsi"/>
                <w:b/>
                <w:sz w:val="24"/>
                <w:szCs w:val="24"/>
              </w:rPr>
            </w:pPr>
            <w:r w:rsidRPr="00C2523C">
              <w:rPr>
                <w:rFonts w:cstheme="minorHAnsi"/>
                <w:b/>
                <w:sz w:val="24"/>
                <w:szCs w:val="24"/>
              </w:rPr>
              <w:t xml:space="preserve">Uwaga wyjaśniona w zakresie ograniczenia podmiotów mogących wnioskować do tzw. listy DNO (lit. c). </w:t>
            </w:r>
          </w:p>
          <w:p w14:paraId="0A2B5B4A" w14:textId="752F5C16" w:rsidR="00793716" w:rsidRPr="00C2523C" w:rsidRDefault="00793716" w:rsidP="002F0E46">
            <w:pPr>
              <w:pStyle w:val="NormalnyWeb"/>
              <w:spacing w:before="0" w:beforeAutospacing="0" w:after="0" w:afterAutospacing="0"/>
              <w:rPr>
                <w:rFonts w:asciiTheme="minorHAnsi" w:eastAsiaTheme="minorHAnsi" w:hAnsiTheme="minorHAnsi" w:cstheme="minorHAnsi"/>
                <w:lang w:eastAsia="en-US"/>
              </w:rPr>
            </w:pPr>
            <w:r w:rsidRPr="00C2523C">
              <w:rPr>
                <w:rFonts w:asciiTheme="minorHAnsi" w:eastAsiaTheme="minorHAnsi" w:hAnsiTheme="minorHAnsi" w:cstheme="minorHAnsi"/>
                <w:lang w:eastAsia="en-US"/>
              </w:rPr>
              <w:t xml:space="preserve">Spółdzielcze kasy oszczędnościowo-kredytowe zostaną dodane jako podmioty uprawnione. Jednocześnie w ocenie projektodawcy, po pierwsze, właściwe do </w:t>
            </w:r>
            <w:r w:rsidRPr="00C2523C">
              <w:rPr>
                <w:rFonts w:asciiTheme="minorHAnsi" w:eastAsiaTheme="minorHAnsi" w:hAnsiTheme="minorHAnsi" w:cstheme="minorHAnsi"/>
                <w:lang w:eastAsia="en-US"/>
              </w:rPr>
              <w:lastRenderedPageBreak/>
              <w:t>uzupełnienia katalogu podmiotów uprawnionych jest etap konsultacji publicznych, opiniowania oraz uzgodnień. Po drugie, znaczne poszerzenie katalogu powinno być poprzedzone oceną ex post wprowadzonych rozwiązań związanych z funkcjonowaniem listy. Nie jest możliwe szczegółowe oszacowanie zainteresowanie wpisem na wykaz numerów telefonów służących wyłącznie do odbierania połączeń głosowych, a więc liczbą wpisów do wykazu.</w:t>
            </w:r>
          </w:p>
          <w:p w14:paraId="32821D0F" w14:textId="0013F777" w:rsidR="0041244E" w:rsidRPr="00C2523C" w:rsidRDefault="0041244E">
            <w:pPr>
              <w:rPr>
                <w:rFonts w:cstheme="minorHAnsi"/>
                <w:b/>
                <w:sz w:val="24"/>
                <w:szCs w:val="24"/>
              </w:rPr>
            </w:pPr>
          </w:p>
        </w:tc>
      </w:tr>
      <w:tr w:rsidR="00C2523C" w:rsidRPr="00C2523C" w14:paraId="0419EE1C" w14:textId="77777777" w:rsidTr="002F0E46">
        <w:tc>
          <w:tcPr>
            <w:tcW w:w="750" w:type="dxa"/>
          </w:tcPr>
          <w:p w14:paraId="70D911A7" w14:textId="77777777" w:rsidR="00DC3FD6" w:rsidRPr="00C2523C" w:rsidRDefault="00DC3FD6"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5287361E" w14:textId="1EF3DDC5" w:rsidR="00DC3FD6" w:rsidRPr="00C2523C" w:rsidRDefault="00DC3FD6" w:rsidP="00277373">
            <w:pPr>
              <w:rPr>
                <w:rFonts w:cstheme="minorHAnsi"/>
                <w:sz w:val="24"/>
                <w:szCs w:val="24"/>
              </w:rPr>
            </w:pPr>
            <w:r w:rsidRPr="00C2523C">
              <w:rPr>
                <w:rFonts w:cstheme="minorHAnsi"/>
                <w:sz w:val="24"/>
                <w:szCs w:val="24"/>
              </w:rPr>
              <w:t>MKSS</w:t>
            </w:r>
          </w:p>
        </w:tc>
        <w:tc>
          <w:tcPr>
            <w:tcW w:w="1328" w:type="dxa"/>
          </w:tcPr>
          <w:p w14:paraId="2833FFE1" w14:textId="55A34762" w:rsidR="00DC3FD6" w:rsidRPr="00C2523C" w:rsidRDefault="00DC3FD6">
            <w:pPr>
              <w:rPr>
                <w:rFonts w:cstheme="minorHAnsi"/>
                <w:sz w:val="24"/>
                <w:szCs w:val="24"/>
              </w:rPr>
            </w:pPr>
            <w:r w:rsidRPr="00C2523C">
              <w:rPr>
                <w:rFonts w:cstheme="minorHAnsi"/>
                <w:sz w:val="24"/>
                <w:szCs w:val="24"/>
              </w:rPr>
              <w:t xml:space="preserve">Art. 9 ust. 12 </w:t>
            </w:r>
          </w:p>
        </w:tc>
        <w:tc>
          <w:tcPr>
            <w:tcW w:w="7229" w:type="dxa"/>
          </w:tcPr>
          <w:p w14:paraId="48C093D3" w14:textId="77777777" w:rsidR="00DC3FD6" w:rsidRPr="00C2523C" w:rsidRDefault="00DC3FD6" w:rsidP="002F0E46">
            <w:pPr>
              <w:pStyle w:val="Teksttreci0"/>
              <w:shd w:val="clear" w:color="auto" w:fill="auto"/>
              <w:spacing w:line="240" w:lineRule="auto"/>
              <w:ind w:firstLine="0"/>
              <w:rPr>
                <w:rFonts w:ascii="Calibri" w:hAnsi="Calibri" w:cs="Calibri"/>
                <w:sz w:val="24"/>
                <w:szCs w:val="24"/>
              </w:rPr>
            </w:pPr>
            <w:r w:rsidRPr="00C2523C">
              <w:rPr>
                <w:rFonts w:ascii="Calibri" w:hAnsi="Calibri" w:cs="Calibri"/>
                <w:sz w:val="24"/>
                <w:szCs w:val="24"/>
              </w:rPr>
              <w:t>Odnosząc się do kwestii blokowania połączeń zasadne jest rozszerzenie zakresu projektowanego art. 9 ust. 12 o możliwość blokowania także połączeń telefonicznych wykorzystujących jako identyfikację numer z wykazu numerów telefonów służących wyłącznie do odbierania połączeń głosowych (nie tylko połączeń inicjowanych).</w:t>
            </w:r>
          </w:p>
          <w:p w14:paraId="6DEC328D" w14:textId="77777777" w:rsidR="00DC3FD6" w:rsidRPr="00C2523C" w:rsidRDefault="00DC3FD6">
            <w:pPr>
              <w:autoSpaceDE w:val="0"/>
              <w:autoSpaceDN w:val="0"/>
              <w:adjustRightInd w:val="0"/>
              <w:rPr>
                <w:rFonts w:cstheme="minorHAnsi"/>
                <w:sz w:val="24"/>
                <w:szCs w:val="24"/>
              </w:rPr>
            </w:pPr>
          </w:p>
        </w:tc>
        <w:tc>
          <w:tcPr>
            <w:tcW w:w="3509" w:type="dxa"/>
          </w:tcPr>
          <w:p w14:paraId="738C124B" w14:textId="19093087" w:rsidR="00DC3FD6" w:rsidRPr="00C2523C" w:rsidRDefault="00BF72A3">
            <w:pPr>
              <w:rPr>
                <w:rFonts w:cstheme="minorHAnsi"/>
                <w:b/>
                <w:sz w:val="24"/>
                <w:szCs w:val="24"/>
              </w:rPr>
            </w:pPr>
            <w:r w:rsidRPr="00C2523C">
              <w:rPr>
                <w:rFonts w:cstheme="minorHAnsi"/>
                <w:b/>
                <w:sz w:val="24"/>
                <w:szCs w:val="24"/>
              </w:rPr>
              <w:t>Uwaga wyjaśniona</w:t>
            </w:r>
          </w:p>
          <w:p w14:paraId="195C46EF" w14:textId="0A889A1A" w:rsidR="00DC3FD6" w:rsidRPr="00C2523C" w:rsidRDefault="00DC3FD6">
            <w:pPr>
              <w:rPr>
                <w:rFonts w:cstheme="minorHAnsi"/>
                <w:sz w:val="24"/>
                <w:szCs w:val="24"/>
              </w:rPr>
            </w:pPr>
            <w:r w:rsidRPr="00C2523C">
              <w:rPr>
                <w:rFonts w:cstheme="minorHAnsi"/>
                <w:sz w:val="24"/>
                <w:szCs w:val="24"/>
              </w:rPr>
              <w:t xml:space="preserve">Takie połączenia będą blokowane na podstawie ogólnych przepisów o przeciwdziałaniu spoofingowi. </w:t>
            </w:r>
          </w:p>
        </w:tc>
      </w:tr>
      <w:tr w:rsidR="00C2523C" w:rsidRPr="00C2523C" w14:paraId="690D80DE" w14:textId="77777777" w:rsidTr="002F0E46">
        <w:tc>
          <w:tcPr>
            <w:tcW w:w="750" w:type="dxa"/>
          </w:tcPr>
          <w:p w14:paraId="77725128" w14:textId="7CF956AA"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77A06DAE" w14:textId="086A9AE5"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609C99AE" w14:textId="0CBCD1C9" w:rsidR="0041244E" w:rsidRPr="00C2523C" w:rsidRDefault="0041244E" w:rsidP="00277373">
            <w:pPr>
              <w:rPr>
                <w:rFonts w:cstheme="minorHAnsi"/>
                <w:sz w:val="24"/>
                <w:szCs w:val="24"/>
              </w:rPr>
            </w:pPr>
            <w:r w:rsidRPr="00C2523C">
              <w:rPr>
                <w:rFonts w:cstheme="minorHAnsi"/>
                <w:sz w:val="24"/>
                <w:szCs w:val="24"/>
              </w:rPr>
              <w:t>Art. 10</w:t>
            </w:r>
          </w:p>
        </w:tc>
        <w:tc>
          <w:tcPr>
            <w:tcW w:w="7229" w:type="dxa"/>
          </w:tcPr>
          <w:p w14:paraId="2986873D" w14:textId="1BB880A3"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14) zgodnie z art. 10 ust. 1 projektu operatorzy mogą zawrzeć z Prezesem UKE</w:t>
            </w:r>
            <w:r w:rsidR="00793716" w:rsidRPr="00C2523C">
              <w:rPr>
                <w:rFonts w:cstheme="minorHAnsi"/>
                <w:sz w:val="24"/>
                <w:szCs w:val="24"/>
              </w:rPr>
              <w:t xml:space="preserve"> </w:t>
            </w:r>
            <w:r w:rsidRPr="00C2523C">
              <w:rPr>
                <w:rFonts w:cstheme="minorHAnsi"/>
                <w:sz w:val="24"/>
                <w:szCs w:val="24"/>
              </w:rPr>
              <w:t>porozumienie określające środki organizacyjne i techniczne, które będą stosowali przy</w:t>
            </w:r>
            <w:r w:rsidR="00604E53" w:rsidRPr="00C2523C">
              <w:rPr>
                <w:rFonts w:cstheme="minorHAnsi"/>
                <w:sz w:val="24"/>
                <w:szCs w:val="24"/>
              </w:rPr>
              <w:t xml:space="preserve"> </w:t>
            </w:r>
            <w:r w:rsidRPr="00C2523C">
              <w:rPr>
                <w:rFonts w:cstheme="minorHAnsi"/>
                <w:sz w:val="24"/>
                <w:szCs w:val="24"/>
              </w:rPr>
              <w:t>realizacji obowiązków, o których mowa w art. 8. Zauważenia jednak wymaga, że obowiązek,</w:t>
            </w:r>
          </w:p>
          <w:p w14:paraId="3A3BB65A" w14:textId="750BEC8E"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o którym mowa w art. 8 dotyczy przedsiębiorców telekomunikacyjnych, w tym zakresie</w:t>
            </w:r>
            <w:r w:rsidR="00604E53" w:rsidRPr="00C2523C">
              <w:rPr>
                <w:rFonts w:cstheme="minorHAnsi"/>
                <w:sz w:val="24"/>
                <w:szCs w:val="24"/>
              </w:rPr>
              <w:t xml:space="preserve"> </w:t>
            </w:r>
            <w:r w:rsidRPr="00C2523C">
              <w:rPr>
                <w:rFonts w:cstheme="minorHAnsi"/>
                <w:sz w:val="24"/>
                <w:szCs w:val="24"/>
              </w:rPr>
              <w:t>wskazany przepis wymaga więc korekty. Odnosząc się jednocześnie do kwestii samych</w:t>
            </w:r>
            <w:r w:rsidR="00604E53" w:rsidRPr="00C2523C">
              <w:rPr>
                <w:rFonts w:cstheme="minorHAnsi"/>
                <w:sz w:val="24"/>
                <w:szCs w:val="24"/>
              </w:rPr>
              <w:t xml:space="preserve"> </w:t>
            </w:r>
            <w:r w:rsidRPr="00C2523C">
              <w:rPr>
                <w:rFonts w:cstheme="minorHAnsi"/>
                <w:sz w:val="24"/>
                <w:szCs w:val="24"/>
              </w:rPr>
              <w:t>porozumień:</w:t>
            </w:r>
          </w:p>
          <w:p w14:paraId="6E911ED0" w14:textId="5576460E"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lastRenderedPageBreak/>
              <w:t>a) projektowaną regulację należy uzupełnić o niezbędne minimalne elementy</w:t>
            </w:r>
            <w:r w:rsidR="00604E53" w:rsidRPr="00C2523C">
              <w:rPr>
                <w:rFonts w:cstheme="minorHAnsi"/>
                <w:sz w:val="24"/>
                <w:szCs w:val="24"/>
              </w:rPr>
              <w:t xml:space="preserve"> </w:t>
            </w:r>
            <w:r w:rsidRPr="00C2523C">
              <w:rPr>
                <w:rFonts w:cstheme="minorHAnsi"/>
                <w:sz w:val="24"/>
                <w:szCs w:val="24"/>
              </w:rPr>
              <w:t>porozumienia, które miałyby zastosowanie do wszystkich operatorów/przedsiębiorców</w:t>
            </w:r>
            <w:r w:rsidR="00604E53" w:rsidRPr="00C2523C">
              <w:rPr>
                <w:rFonts w:cstheme="minorHAnsi"/>
                <w:sz w:val="24"/>
                <w:szCs w:val="24"/>
              </w:rPr>
              <w:t xml:space="preserve"> </w:t>
            </w:r>
            <w:r w:rsidRPr="00C2523C">
              <w:rPr>
                <w:rFonts w:cstheme="minorHAnsi"/>
                <w:sz w:val="24"/>
                <w:szCs w:val="24"/>
              </w:rPr>
              <w:t>telekomunikacyjnych zawierających porozumienie,</w:t>
            </w:r>
          </w:p>
          <w:p w14:paraId="5D4CA258" w14:textId="356A7754"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b) wyjaśnienia wymaga, jakie jeszcze, oprócz blokowania numeru i ukrywania</w:t>
            </w:r>
            <w:r w:rsidR="00604E53" w:rsidRPr="00C2523C">
              <w:rPr>
                <w:rFonts w:cstheme="minorHAnsi"/>
                <w:sz w:val="24"/>
                <w:szCs w:val="24"/>
              </w:rPr>
              <w:t xml:space="preserve"> </w:t>
            </w:r>
            <w:r w:rsidRPr="00C2523C">
              <w:rPr>
                <w:rFonts w:cstheme="minorHAnsi"/>
                <w:sz w:val="24"/>
                <w:szCs w:val="24"/>
              </w:rPr>
              <w:t>identyfikacji numeru, usługi telekomunikacyjne będące skutkiem wprowadzonych środków</w:t>
            </w:r>
          </w:p>
          <w:p w14:paraId="72C09095" w14:textId="5672F4DB" w:rsidR="0041244E" w:rsidRPr="00C2523C" w:rsidRDefault="0041244E" w:rsidP="002F0E46">
            <w:pPr>
              <w:autoSpaceDE w:val="0"/>
              <w:autoSpaceDN w:val="0"/>
              <w:adjustRightInd w:val="0"/>
              <w:rPr>
                <w:rFonts w:cstheme="minorHAnsi"/>
                <w:sz w:val="24"/>
                <w:szCs w:val="24"/>
              </w:rPr>
            </w:pPr>
            <w:r w:rsidRPr="00C2523C">
              <w:rPr>
                <w:rFonts w:cstheme="minorHAnsi"/>
                <w:sz w:val="24"/>
                <w:szCs w:val="24"/>
              </w:rPr>
              <w:t>technicznych i organizacyjnych, o których mowa w art. 10 ust. 1 (wskazany przepis odsyła</w:t>
            </w:r>
            <w:r w:rsidR="00604E53" w:rsidRPr="00C2523C">
              <w:rPr>
                <w:rFonts w:cstheme="minorHAnsi"/>
                <w:sz w:val="24"/>
                <w:szCs w:val="24"/>
              </w:rPr>
              <w:t xml:space="preserve"> </w:t>
            </w:r>
            <w:r w:rsidRPr="00C2523C">
              <w:rPr>
                <w:rFonts w:cstheme="minorHAnsi"/>
                <w:sz w:val="24"/>
                <w:szCs w:val="24"/>
              </w:rPr>
              <w:t>w tym zakresie do art. 8 projektu) będzie świadczyć operator, za których niewykonanie bądź</w:t>
            </w:r>
            <w:r w:rsidR="00604E53" w:rsidRPr="00C2523C">
              <w:rPr>
                <w:rFonts w:cstheme="minorHAnsi"/>
                <w:sz w:val="24"/>
                <w:szCs w:val="24"/>
              </w:rPr>
              <w:t xml:space="preserve"> </w:t>
            </w:r>
            <w:r w:rsidRPr="00C2523C">
              <w:rPr>
                <w:rFonts w:cstheme="minorHAnsi"/>
                <w:sz w:val="24"/>
                <w:szCs w:val="24"/>
              </w:rPr>
              <w:t>nienależyte wykonanie, w przypadku poprawnego wykonywania porozumienia, nie poniesie</w:t>
            </w:r>
            <w:r w:rsidR="00604E53" w:rsidRPr="00C2523C">
              <w:rPr>
                <w:rFonts w:cstheme="minorHAnsi"/>
                <w:sz w:val="24"/>
                <w:szCs w:val="24"/>
              </w:rPr>
              <w:t xml:space="preserve"> </w:t>
            </w:r>
            <w:r w:rsidRPr="00C2523C">
              <w:rPr>
                <w:rFonts w:cstheme="minorHAnsi"/>
                <w:sz w:val="24"/>
                <w:szCs w:val="24"/>
              </w:rPr>
              <w:t>on odpowiedzialności;</w:t>
            </w:r>
          </w:p>
        </w:tc>
        <w:tc>
          <w:tcPr>
            <w:tcW w:w="3509" w:type="dxa"/>
          </w:tcPr>
          <w:p w14:paraId="52BDC43F" w14:textId="1384908D" w:rsidR="00604E53" w:rsidRPr="00C2523C" w:rsidRDefault="00604E53" w:rsidP="00277373">
            <w:pPr>
              <w:rPr>
                <w:rFonts w:cstheme="minorHAnsi"/>
                <w:b/>
                <w:sz w:val="24"/>
                <w:szCs w:val="24"/>
              </w:rPr>
            </w:pPr>
            <w:r w:rsidRPr="00C2523C">
              <w:rPr>
                <w:rFonts w:cstheme="minorHAnsi"/>
                <w:b/>
                <w:sz w:val="24"/>
                <w:szCs w:val="24"/>
              </w:rPr>
              <w:lastRenderedPageBreak/>
              <w:t>Uwaga nieuwzględniona co do doregulowania porozumienia antyspo</w:t>
            </w:r>
            <w:r w:rsidR="0012385F" w:rsidRPr="00C2523C">
              <w:rPr>
                <w:rFonts w:cstheme="minorHAnsi"/>
                <w:b/>
                <w:sz w:val="24"/>
                <w:szCs w:val="24"/>
              </w:rPr>
              <w:t>o</w:t>
            </w:r>
            <w:r w:rsidRPr="00C2523C">
              <w:rPr>
                <w:rFonts w:cstheme="minorHAnsi"/>
                <w:b/>
                <w:sz w:val="24"/>
                <w:szCs w:val="24"/>
              </w:rPr>
              <w:t>fing’owego</w:t>
            </w:r>
          </w:p>
          <w:p w14:paraId="63A6842C" w14:textId="13285685" w:rsidR="00604E53" w:rsidRPr="00C2523C" w:rsidRDefault="00604E53">
            <w:pPr>
              <w:rPr>
                <w:rFonts w:cstheme="minorHAnsi"/>
                <w:sz w:val="24"/>
                <w:szCs w:val="24"/>
              </w:rPr>
            </w:pPr>
            <w:r w:rsidRPr="00C2523C">
              <w:rPr>
                <w:rFonts w:cstheme="minorHAnsi"/>
                <w:sz w:val="24"/>
                <w:szCs w:val="24"/>
              </w:rPr>
              <w:t xml:space="preserve">z projektowanych przepisów wynikają m.in.: strony porozumienia, jego przedmiot wraz z celem jego zawarcia, </w:t>
            </w:r>
            <w:r w:rsidRPr="00C2523C">
              <w:rPr>
                <w:rFonts w:cstheme="minorHAnsi"/>
                <w:sz w:val="24"/>
                <w:szCs w:val="24"/>
              </w:rPr>
              <w:lastRenderedPageBreak/>
              <w:t>kontrola porozumienia oraz szczególne skutki jest zawarcia i stosowania. Reasumując, minimalne elementy porozumienia są już określone w projekcie.</w:t>
            </w:r>
            <w:r w:rsidR="009B5E41" w:rsidRPr="00C2523C">
              <w:rPr>
                <w:rFonts w:cstheme="minorHAnsi"/>
                <w:sz w:val="24"/>
                <w:szCs w:val="24"/>
              </w:rPr>
              <w:t xml:space="preserve"> Z kolei środki organizacyjne i techniczne jakie</w:t>
            </w:r>
            <w:r w:rsidR="00BF72A3" w:rsidRPr="00C2523C">
              <w:rPr>
                <w:rFonts w:cstheme="minorHAnsi"/>
                <w:sz w:val="24"/>
                <w:szCs w:val="24"/>
              </w:rPr>
              <w:t xml:space="preserve"> </w:t>
            </w:r>
            <w:r w:rsidR="009B5E41" w:rsidRPr="00C2523C">
              <w:rPr>
                <w:rFonts w:cstheme="minorHAnsi"/>
                <w:sz w:val="24"/>
                <w:szCs w:val="24"/>
              </w:rPr>
              <w:t>będą stosowali przedsiębiorcy są kwestią zbyt szczegółową by była uregulowana na poziomie ustawowym. Z tego powodu te kwestie będą ujęte w samym porozumieniu.</w:t>
            </w:r>
          </w:p>
          <w:p w14:paraId="7E0BB79F" w14:textId="77777777" w:rsidR="00604E53" w:rsidRPr="00C2523C" w:rsidRDefault="00604E53">
            <w:pPr>
              <w:rPr>
                <w:rFonts w:cstheme="minorHAnsi"/>
                <w:sz w:val="24"/>
                <w:szCs w:val="24"/>
              </w:rPr>
            </w:pPr>
          </w:p>
          <w:p w14:paraId="3C331B09" w14:textId="4A547D93" w:rsidR="00604E53" w:rsidRPr="00C2523C" w:rsidRDefault="00604E53">
            <w:pPr>
              <w:rPr>
                <w:rFonts w:cstheme="minorHAnsi"/>
                <w:b/>
                <w:sz w:val="24"/>
                <w:szCs w:val="24"/>
              </w:rPr>
            </w:pPr>
            <w:r w:rsidRPr="00C2523C">
              <w:rPr>
                <w:rFonts w:cstheme="minorHAnsi"/>
                <w:b/>
                <w:sz w:val="24"/>
                <w:szCs w:val="24"/>
              </w:rPr>
              <w:t xml:space="preserve">Uwaga wyjaśniona w zakresie </w:t>
            </w:r>
            <w:r w:rsidR="00FC074A" w:rsidRPr="00C2523C">
              <w:rPr>
                <w:rFonts w:cstheme="minorHAnsi"/>
                <w:b/>
                <w:sz w:val="24"/>
                <w:szCs w:val="24"/>
              </w:rPr>
              <w:t xml:space="preserve">mogących mieć zastosowanie </w:t>
            </w:r>
            <w:r w:rsidRPr="00C2523C">
              <w:rPr>
                <w:rFonts w:cstheme="minorHAnsi"/>
                <w:b/>
                <w:sz w:val="24"/>
                <w:szCs w:val="24"/>
              </w:rPr>
              <w:t>środków technicznych i organizacyjnych</w:t>
            </w:r>
          </w:p>
          <w:p w14:paraId="6077A54E" w14:textId="29EFD48F" w:rsidR="0041244E" w:rsidRPr="00C2523C" w:rsidRDefault="00604E53">
            <w:pPr>
              <w:rPr>
                <w:rFonts w:cstheme="minorHAnsi"/>
                <w:b/>
                <w:sz w:val="24"/>
                <w:szCs w:val="24"/>
              </w:rPr>
            </w:pPr>
            <w:r w:rsidRPr="00C2523C">
              <w:rPr>
                <w:rFonts w:cstheme="minorHAnsi"/>
                <w:sz w:val="24"/>
                <w:szCs w:val="24"/>
              </w:rPr>
              <w:t>W ocenie projektodawcy, tak jak wskazał RCL, tymi środkami są</w:t>
            </w:r>
            <w:r w:rsidRPr="00C2523C">
              <w:rPr>
                <w:rFonts w:cstheme="minorHAnsi"/>
                <w:b/>
                <w:sz w:val="24"/>
                <w:szCs w:val="24"/>
              </w:rPr>
              <w:t xml:space="preserve"> </w:t>
            </w:r>
            <w:r w:rsidRPr="00C2523C">
              <w:rPr>
                <w:sz w:val="24"/>
                <w:szCs w:val="24"/>
              </w:rPr>
              <w:t>blokowanie połączenia głosowego albo ukrycie identyfikacji numeru wywołującego dla użytkownika końcowego.</w:t>
            </w:r>
            <w:r w:rsidR="00FF306D" w:rsidRPr="00C2523C">
              <w:rPr>
                <w:sz w:val="24"/>
                <w:szCs w:val="24"/>
              </w:rPr>
              <w:t xml:space="preserve"> Należy jednak podkreślić, że stroną porozumienia, w przypadku jego zawarcia, będzie Prezes UKE, który jest wyspecjalizowanym organem regulacyjnym w </w:t>
            </w:r>
            <w:r w:rsidR="00FF306D" w:rsidRPr="00C2523C">
              <w:rPr>
                <w:sz w:val="24"/>
                <w:szCs w:val="24"/>
              </w:rPr>
              <w:lastRenderedPageBreak/>
              <w:t>dziedzinie rynku usług telekomunikacyjnego i nie jest zasadne ograniczanie wprost katalogu środków na gruncie projektowanej ustawy.</w:t>
            </w:r>
          </w:p>
        </w:tc>
      </w:tr>
      <w:tr w:rsidR="00C2523C" w:rsidRPr="00C2523C" w14:paraId="5505F868" w14:textId="77777777" w:rsidTr="002F0E46">
        <w:tc>
          <w:tcPr>
            <w:tcW w:w="750" w:type="dxa"/>
          </w:tcPr>
          <w:p w14:paraId="32D0D4CF"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1080D794" w14:textId="19C15DC6"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39DAFC18" w14:textId="156BD0E3" w:rsidR="00FD3498" w:rsidRPr="00C2523C" w:rsidRDefault="00FD3498" w:rsidP="00277373">
            <w:pPr>
              <w:rPr>
                <w:rFonts w:cstheme="minorHAnsi"/>
                <w:sz w:val="24"/>
                <w:szCs w:val="24"/>
              </w:rPr>
            </w:pPr>
            <w:r w:rsidRPr="00C2523C">
              <w:rPr>
                <w:rFonts w:cstheme="minorHAnsi"/>
                <w:sz w:val="24"/>
                <w:szCs w:val="24"/>
              </w:rPr>
              <w:t>Art. 11 ust. 1</w:t>
            </w:r>
          </w:p>
        </w:tc>
        <w:tc>
          <w:tcPr>
            <w:tcW w:w="7229" w:type="dxa"/>
          </w:tcPr>
          <w:p w14:paraId="2105E875" w14:textId="743CCC76" w:rsidR="00FD3498" w:rsidRPr="00C2523C" w:rsidRDefault="00FD3498" w:rsidP="00847111">
            <w:pPr>
              <w:autoSpaceDE w:val="0"/>
              <w:autoSpaceDN w:val="0"/>
              <w:adjustRightInd w:val="0"/>
              <w:rPr>
                <w:rFonts w:cstheme="minorHAnsi"/>
                <w:sz w:val="24"/>
                <w:szCs w:val="24"/>
              </w:rPr>
            </w:pPr>
            <w:r w:rsidRPr="00C2523C">
              <w:rPr>
                <w:rFonts w:cstheme="minorHAnsi"/>
                <w:sz w:val="24"/>
                <w:szCs w:val="24"/>
              </w:rPr>
              <w:t xml:space="preserve">Za celowe uznać należy wprowadzenie w </w:t>
            </w:r>
            <w:r w:rsidRPr="00C2523C">
              <w:rPr>
                <w:rFonts w:cstheme="minorHAnsi"/>
                <w:b/>
                <w:bCs/>
                <w:sz w:val="24"/>
                <w:szCs w:val="24"/>
              </w:rPr>
              <w:t xml:space="preserve">art. 11 ust. 1 </w:t>
            </w:r>
            <w:r w:rsidRPr="00C2523C">
              <w:rPr>
                <w:rFonts w:cstheme="minorHAnsi"/>
                <w:sz w:val="24"/>
                <w:szCs w:val="24"/>
              </w:rPr>
              <w:t>projektu podstawy</w:t>
            </w:r>
            <w:r w:rsidR="00AB6C72" w:rsidRPr="00C2523C">
              <w:rPr>
                <w:rFonts w:cstheme="minorHAnsi"/>
                <w:sz w:val="24"/>
                <w:szCs w:val="24"/>
              </w:rPr>
              <w:t xml:space="preserve"> </w:t>
            </w:r>
            <w:r w:rsidRPr="00C2523C">
              <w:rPr>
                <w:rFonts w:cstheme="minorHAnsi"/>
                <w:sz w:val="24"/>
                <w:szCs w:val="24"/>
              </w:rPr>
              <w:t>prowadzenia listy ostrzeżeń obejmującej domeny internetowe, które służą do wyłudzeń danych</w:t>
            </w:r>
            <w:r w:rsidR="00AB6C72" w:rsidRPr="00C2523C">
              <w:rPr>
                <w:rFonts w:cstheme="minorHAnsi"/>
                <w:sz w:val="24"/>
                <w:szCs w:val="24"/>
              </w:rPr>
              <w:t xml:space="preserve"> </w:t>
            </w:r>
            <w:r w:rsidRPr="00C2523C">
              <w:rPr>
                <w:rFonts w:cstheme="minorHAnsi"/>
                <w:sz w:val="24"/>
                <w:szCs w:val="24"/>
              </w:rPr>
              <w:t>i środków finansowych użytkowników Internetu. Jednak spójność tej koncepcji zaburza objęcie</w:t>
            </w:r>
            <w:r w:rsidR="00AB6C72" w:rsidRPr="00C2523C">
              <w:rPr>
                <w:rFonts w:cstheme="minorHAnsi"/>
                <w:sz w:val="24"/>
                <w:szCs w:val="24"/>
              </w:rPr>
              <w:t xml:space="preserve"> </w:t>
            </w:r>
            <w:r w:rsidRPr="00C2523C">
              <w:rPr>
                <w:rFonts w:cstheme="minorHAnsi"/>
                <w:sz w:val="24"/>
                <w:szCs w:val="24"/>
              </w:rPr>
              <w:t>listą ostrzeżeń domen internetowych, które służą do nieuprawnionego wykorzystania numeru</w:t>
            </w:r>
            <w:r w:rsidR="00BA54DC" w:rsidRPr="00C2523C">
              <w:rPr>
                <w:rFonts w:cstheme="minorHAnsi"/>
                <w:sz w:val="24"/>
                <w:szCs w:val="24"/>
              </w:rPr>
              <w:t xml:space="preserve"> </w:t>
            </w:r>
            <w:r w:rsidRPr="00C2523C">
              <w:rPr>
                <w:rFonts w:cstheme="minorHAnsi"/>
                <w:sz w:val="24"/>
                <w:szCs w:val="24"/>
              </w:rPr>
              <w:t>lub identyfikatora użytkownika wywołującego połączenie głosowe oraz uniemożliwienia</w:t>
            </w:r>
            <w:r w:rsidR="00BA54DC" w:rsidRPr="00C2523C">
              <w:rPr>
                <w:rFonts w:cstheme="minorHAnsi"/>
                <w:sz w:val="24"/>
                <w:szCs w:val="24"/>
              </w:rPr>
              <w:t xml:space="preserve"> </w:t>
            </w:r>
            <w:r w:rsidRPr="00C2523C">
              <w:rPr>
                <w:rFonts w:cstheme="minorHAnsi"/>
                <w:sz w:val="24"/>
                <w:szCs w:val="24"/>
              </w:rPr>
              <w:t>dostępu do tych stron.</w:t>
            </w:r>
          </w:p>
        </w:tc>
        <w:tc>
          <w:tcPr>
            <w:tcW w:w="3509" w:type="dxa"/>
          </w:tcPr>
          <w:p w14:paraId="1367B9DA" w14:textId="740BE22C" w:rsidR="000C710E" w:rsidRPr="00C2523C" w:rsidRDefault="000C710E" w:rsidP="00277373">
            <w:pPr>
              <w:rPr>
                <w:rFonts w:cstheme="minorHAnsi"/>
                <w:b/>
                <w:sz w:val="24"/>
                <w:szCs w:val="24"/>
              </w:rPr>
            </w:pPr>
            <w:r w:rsidRPr="00C2523C">
              <w:rPr>
                <w:rFonts w:cstheme="minorHAnsi"/>
                <w:b/>
                <w:sz w:val="24"/>
                <w:szCs w:val="24"/>
              </w:rPr>
              <w:t>Uwaga wyjaśniona</w:t>
            </w:r>
          </w:p>
          <w:p w14:paraId="7AB38BC5" w14:textId="3F7064B1" w:rsidR="00FD3498" w:rsidRPr="00C2523C" w:rsidRDefault="00367F1B" w:rsidP="00367F1B">
            <w:pPr>
              <w:rPr>
                <w:rFonts w:cstheme="minorHAnsi"/>
                <w:sz w:val="24"/>
                <w:szCs w:val="24"/>
              </w:rPr>
            </w:pPr>
            <w:r w:rsidRPr="00C2523C">
              <w:rPr>
                <w:rFonts w:cstheme="minorHAnsi"/>
                <w:sz w:val="24"/>
                <w:szCs w:val="24"/>
              </w:rPr>
              <w:t xml:space="preserve">Wskazać należy, że przepis przewiduje możliwość, a nie obowiązek, zawarcia porozumienia, którego przedmiotem będzie </w:t>
            </w:r>
            <w:r w:rsidRPr="00C2523C">
              <w:t xml:space="preserve">prowadzenie i utrzymywanie jawnej listy ostrzeżeń dotyczących domen internetowych, które służą do wyłudzeń danych i środków finansowych użytkowników internetu oraz uniemożliwianie dostępu do tych stron. W przypadku zawarcia porozumienia, zgodnie z art. 11 ust. 3, lista ostrzeżeń będzie prowadzona i udostępniana przez CSIRT NASK. </w:t>
            </w:r>
          </w:p>
        </w:tc>
      </w:tr>
      <w:tr w:rsidR="00C2523C" w:rsidRPr="00C2523C" w14:paraId="61284E7A" w14:textId="77777777" w:rsidTr="002F0E46">
        <w:tc>
          <w:tcPr>
            <w:tcW w:w="750" w:type="dxa"/>
          </w:tcPr>
          <w:p w14:paraId="6BC50D19" w14:textId="0FA10795"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01946EB3" w14:textId="0B1B93DA"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36676AD2" w14:textId="609263D2" w:rsidR="0041244E" w:rsidRPr="00C2523C" w:rsidRDefault="0041244E" w:rsidP="00277373">
            <w:pPr>
              <w:rPr>
                <w:rFonts w:cstheme="minorHAnsi"/>
                <w:sz w:val="24"/>
                <w:szCs w:val="24"/>
              </w:rPr>
            </w:pPr>
            <w:r w:rsidRPr="00C2523C">
              <w:rPr>
                <w:rFonts w:cstheme="minorHAnsi"/>
                <w:sz w:val="24"/>
                <w:szCs w:val="24"/>
              </w:rPr>
              <w:t>Art. 11</w:t>
            </w:r>
          </w:p>
        </w:tc>
        <w:tc>
          <w:tcPr>
            <w:tcW w:w="7229" w:type="dxa"/>
          </w:tcPr>
          <w:p w14:paraId="3879D10F" w14:textId="67307A6C" w:rsidR="0041244E" w:rsidRPr="00C2523C" w:rsidRDefault="0041244E" w:rsidP="00847111">
            <w:pPr>
              <w:autoSpaceDE w:val="0"/>
              <w:autoSpaceDN w:val="0"/>
              <w:adjustRightInd w:val="0"/>
              <w:rPr>
                <w:rFonts w:cstheme="minorHAnsi"/>
                <w:sz w:val="24"/>
                <w:szCs w:val="24"/>
              </w:rPr>
            </w:pPr>
            <w:r w:rsidRPr="00C2523C">
              <w:rPr>
                <w:rFonts w:cstheme="minorHAnsi"/>
                <w:sz w:val="24"/>
                <w:szCs w:val="24"/>
              </w:rPr>
              <w:t>w przypadku projektowanego art. 11 należy podkreślić, że przewidywane jako</w:t>
            </w:r>
            <w:r w:rsidR="00DE5070" w:rsidRPr="00C2523C">
              <w:rPr>
                <w:rFonts w:cstheme="minorHAnsi"/>
                <w:sz w:val="24"/>
                <w:szCs w:val="24"/>
              </w:rPr>
              <w:t xml:space="preserve"> </w:t>
            </w:r>
            <w:r w:rsidRPr="00C2523C">
              <w:rPr>
                <w:rFonts w:cstheme="minorHAnsi"/>
                <w:sz w:val="24"/>
                <w:szCs w:val="24"/>
              </w:rPr>
              <w:t>zawartość projektowanego porozumienia zasady zgłaszania domen, wpisywania i oraz</w:t>
            </w:r>
            <w:r w:rsidR="00DE5070" w:rsidRPr="00C2523C">
              <w:rPr>
                <w:rFonts w:cstheme="minorHAnsi"/>
                <w:sz w:val="24"/>
                <w:szCs w:val="24"/>
              </w:rPr>
              <w:t xml:space="preserve"> </w:t>
            </w:r>
            <w:r w:rsidRPr="00C2523C">
              <w:rPr>
                <w:rFonts w:cstheme="minorHAnsi"/>
                <w:sz w:val="24"/>
                <w:szCs w:val="24"/>
              </w:rPr>
              <w:t>usuwania tych domen z listy ostrzeżeń (o których mowa w ust. 5) stanowią materię rangi</w:t>
            </w:r>
            <w:r w:rsidR="00DE5070" w:rsidRPr="00C2523C">
              <w:rPr>
                <w:rFonts w:cstheme="minorHAnsi"/>
                <w:sz w:val="24"/>
                <w:szCs w:val="24"/>
              </w:rPr>
              <w:t xml:space="preserve"> </w:t>
            </w:r>
            <w:r w:rsidRPr="00C2523C">
              <w:rPr>
                <w:rFonts w:cstheme="minorHAnsi"/>
                <w:sz w:val="24"/>
                <w:szCs w:val="24"/>
              </w:rPr>
              <w:t>ustawowej i powinny zostać określone przepisami ustawy, podobnie jak Projektodawca to</w:t>
            </w:r>
            <w:r w:rsidR="00DE5070" w:rsidRPr="00C2523C">
              <w:rPr>
                <w:rFonts w:cstheme="minorHAnsi"/>
                <w:sz w:val="24"/>
                <w:szCs w:val="24"/>
              </w:rPr>
              <w:t xml:space="preserve"> </w:t>
            </w:r>
            <w:r w:rsidRPr="00C2523C">
              <w:rPr>
                <w:rFonts w:cstheme="minorHAnsi"/>
                <w:sz w:val="24"/>
                <w:szCs w:val="24"/>
              </w:rPr>
              <w:t>uczynił w przypadku art. 4-6 dla nadużycia, o którym mowa w art. 3 ust. 1 pkt 2. Powyższe</w:t>
            </w:r>
            <w:r w:rsidR="00DE5070" w:rsidRPr="00C2523C">
              <w:rPr>
                <w:rFonts w:cstheme="minorHAnsi"/>
                <w:sz w:val="24"/>
                <w:szCs w:val="24"/>
              </w:rPr>
              <w:t xml:space="preserve"> </w:t>
            </w:r>
            <w:r w:rsidRPr="00C2523C">
              <w:rPr>
                <w:rFonts w:cstheme="minorHAnsi"/>
                <w:sz w:val="24"/>
                <w:szCs w:val="24"/>
              </w:rPr>
              <w:t>dotyczy także prowadzenia jawnej listy, o której mowa w art. 11 ust. 1 projektu oraz zadań</w:t>
            </w:r>
            <w:r w:rsidR="00DE5070" w:rsidRPr="00C2523C">
              <w:rPr>
                <w:rFonts w:cstheme="minorHAnsi"/>
                <w:sz w:val="24"/>
                <w:szCs w:val="24"/>
              </w:rPr>
              <w:t xml:space="preserve"> </w:t>
            </w:r>
            <w:r w:rsidRPr="00C2523C">
              <w:rPr>
                <w:rFonts w:cstheme="minorHAnsi"/>
                <w:sz w:val="24"/>
                <w:szCs w:val="24"/>
              </w:rPr>
              <w:t>i kompetencji poszczególnych organów odpowiedzialnych za zwalczanie nadużyć,</w:t>
            </w:r>
            <w:r w:rsidR="00DE5070" w:rsidRPr="00C2523C">
              <w:rPr>
                <w:rFonts w:cstheme="minorHAnsi"/>
                <w:sz w:val="24"/>
                <w:szCs w:val="24"/>
              </w:rPr>
              <w:t xml:space="preserve"> </w:t>
            </w:r>
            <w:r w:rsidRPr="00C2523C">
              <w:rPr>
                <w:rFonts w:cstheme="minorHAnsi"/>
                <w:sz w:val="24"/>
                <w:szCs w:val="24"/>
              </w:rPr>
              <w:t xml:space="preserve">a </w:t>
            </w:r>
            <w:r w:rsidRPr="00C2523C">
              <w:rPr>
                <w:rFonts w:cstheme="minorHAnsi"/>
                <w:sz w:val="24"/>
                <w:szCs w:val="24"/>
              </w:rPr>
              <w:lastRenderedPageBreak/>
              <w:t>wskazanych obecnie jako strony porozumienia w art. 11 ust. 4. Ewentualne doprecyzowania</w:t>
            </w:r>
            <w:r w:rsidR="00DE5070" w:rsidRPr="00C2523C">
              <w:rPr>
                <w:rFonts w:cstheme="minorHAnsi"/>
                <w:sz w:val="24"/>
                <w:szCs w:val="24"/>
              </w:rPr>
              <w:t xml:space="preserve"> </w:t>
            </w:r>
            <w:r w:rsidRPr="00C2523C">
              <w:rPr>
                <w:rFonts w:cstheme="minorHAnsi"/>
                <w:sz w:val="24"/>
                <w:szCs w:val="24"/>
              </w:rPr>
              <w:t>przepisów ustawowych powinny zostać uregulowane w przepisach wykonawczych do</w:t>
            </w:r>
            <w:r w:rsidR="00DE5070" w:rsidRPr="00C2523C">
              <w:rPr>
                <w:rFonts w:cstheme="minorHAnsi"/>
                <w:sz w:val="24"/>
                <w:szCs w:val="24"/>
              </w:rPr>
              <w:t xml:space="preserve"> </w:t>
            </w:r>
            <w:r w:rsidRPr="00C2523C">
              <w:rPr>
                <w:rFonts w:cstheme="minorHAnsi"/>
                <w:sz w:val="24"/>
                <w:szCs w:val="24"/>
              </w:rPr>
              <w:t>ustawy. Takie rozwiązanie pozwoli na rezygnację z regulowania tej materii w drodze</w:t>
            </w:r>
            <w:r w:rsidR="00DE5070" w:rsidRPr="00C2523C">
              <w:rPr>
                <w:rFonts w:cstheme="minorHAnsi"/>
                <w:sz w:val="24"/>
                <w:szCs w:val="24"/>
              </w:rPr>
              <w:t xml:space="preserve"> </w:t>
            </w:r>
            <w:r w:rsidRPr="00C2523C">
              <w:rPr>
                <w:rFonts w:cstheme="minorHAnsi"/>
                <w:sz w:val="24"/>
                <w:szCs w:val="24"/>
              </w:rPr>
              <w:t>porozumienia i rezygnację z regulacji dostosowujących zawartych w art. 22 projektu. Ponadto</w:t>
            </w:r>
            <w:r w:rsidR="00DE5070" w:rsidRPr="00C2523C">
              <w:rPr>
                <w:rFonts w:cstheme="minorHAnsi"/>
                <w:sz w:val="24"/>
                <w:szCs w:val="24"/>
              </w:rPr>
              <w:t xml:space="preserve"> </w:t>
            </w:r>
            <w:r w:rsidRPr="00C2523C">
              <w:rPr>
                <w:rFonts w:cstheme="minorHAnsi"/>
                <w:sz w:val="24"/>
                <w:szCs w:val="24"/>
              </w:rPr>
              <w:t>wskazać należy, że projektowana regulacja nie określa procedury odwoławczej od decyzji</w:t>
            </w:r>
            <w:r w:rsidR="00DE5070" w:rsidRPr="00C2523C">
              <w:rPr>
                <w:rFonts w:cstheme="minorHAnsi"/>
                <w:sz w:val="24"/>
                <w:szCs w:val="24"/>
              </w:rPr>
              <w:t xml:space="preserve"> </w:t>
            </w:r>
            <w:r w:rsidRPr="00C2523C">
              <w:rPr>
                <w:rFonts w:cstheme="minorHAnsi"/>
                <w:sz w:val="24"/>
                <w:szCs w:val="24"/>
              </w:rPr>
              <w:t>o wpisaniu na listę ostrzeżeń, co wymaga uzupełnienia.</w:t>
            </w:r>
          </w:p>
        </w:tc>
        <w:tc>
          <w:tcPr>
            <w:tcW w:w="3509" w:type="dxa"/>
          </w:tcPr>
          <w:p w14:paraId="5B909964" w14:textId="26623BDB" w:rsidR="00515523" w:rsidRPr="00C2523C" w:rsidRDefault="00BD6F16">
            <w:pPr>
              <w:rPr>
                <w:rFonts w:cstheme="minorHAnsi"/>
                <w:sz w:val="24"/>
                <w:szCs w:val="24"/>
              </w:rPr>
            </w:pPr>
            <w:r w:rsidRPr="00C2523C">
              <w:rPr>
                <w:rFonts w:cstheme="minorHAnsi"/>
                <w:b/>
                <w:sz w:val="24"/>
                <w:szCs w:val="24"/>
              </w:rPr>
              <w:lastRenderedPageBreak/>
              <w:t>Uwaga nieuwzględniona</w:t>
            </w:r>
          </w:p>
          <w:p w14:paraId="65273BBF" w14:textId="12565715" w:rsidR="00BD6F16" w:rsidRPr="00C2523C" w:rsidRDefault="00BD6F16">
            <w:pPr>
              <w:rPr>
                <w:rFonts w:cstheme="minorHAnsi"/>
                <w:sz w:val="24"/>
                <w:szCs w:val="24"/>
              </w:rPr>
            </w:pPr>
            <w:r w:rsidRPr="00C2523C">
              <w:rPr>
                <w:rFonts w:cstheme="minorHAnsi"/>
                <w:sz w:val="24"/>
                <w:szCs w:val="24"/>
              </w:rPr>
              <w:t>Minimalne elementy porozumienia są już określone w projektowanych przepisach rangi ustawowej.</w:t>
            </w:r>
          </w:p>
          <w:p w14:paraId="3455F86D" w14:textId="219F1707" w:rsidR="0041244E" w:rsidRPr="00C2523C" w:rsidRDefault="00BD6F16">
            <w:pPr>
              <w:rPr>
                <w:rFonts w:cstheme="minorHAnsi"/>
                <w:sz w:val="24"/>
                <w:szCs w:val="24"/>
              </w:rPr>
            </w:pPr>
            <w:r w:rsidRPr="00C2523C">
              <w:rPr>
                <w:rFonts w:cstheme="minorHAnsi"/>
                <w:sz w:val="24"/>
                <w:szCs w:val="24"/>
              </w:rPr>
              <w:t xml:space="preserve">Porozumienie w zakresie prowadzenia i utrzymywania jawnej listy ostrzeżeń dotyczących domen </w:t>
            </w:r>
            <w:r w:rsidRPr="00C2523C">
              <w:rPr>
                <w:rFonts w:cstheme="minorHAnsi"/>
                <w:sz w:val="24"/>
                <w:szCs w:val="24"/>
              </w:rPr>
              <w:lastRenderedPageBreak/>
              <w:t>internetowych, które służą do wyłudzeń danych i środków finansowych użytkowników internetu oraz uniemożliwienia dostępu do tych stron jako środek o charakterze samoregulacji funkcjonuje bardzo dobrze, z korzyścią dla użytkowników. Praktyka potwierdza to, że to rozwiązanie jest właściwe w stosunku do</w:t>
            </w:r>
            <w:r w:rsidR="00BF72A3" w:rsidRPr="00C2523C">
              <w:rPr>
                <w:rFonts w:cstheme="minorHAnsi"/>
                <w:sz w:val="24"/>
                <w:szCs w:val="24"/>
              </w:rPr>
              <w:t xml:space="preserve"> </w:t>
            </w:r>
            <w:r w:rsidRPr="00C2523C">
              <w:rPr>
                <w:rFonts w:cstheme="minorHAnsi"/>
                <w:sz w:val="24"/>
                <w:szCs w:val="24"/>
              </w:rPr>
              <w:t xml:space="preserve">„oszukańczych” domen. Lista ostrzeżeń jest jawna i spełnia wymogi transparentności. Jednocześnie funkcjonowanie listy wiąże się z uprawnieniem (a nie obowiązkiem) zablokowania dostępu do stron www. wpisanych na listę. </w:t>
            </w:r>
          </w:p>
        </w:tc>
      </w:tr>
      <w:tr w:rsidR="00C2523C" w:rsidRPr="00C2523C" w14:paraId="209B5FF2" w14:textId="77777777" w:rsidTr="002F0E46">
        <w:tc>
          <w:tcPr>
            <w:tcW w:w="750" w:type="dxa"/>
          </w:tcPr>
          <w:p w14:paraId="1DFE8511" w14:textId="2FCCACAA"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48439FDD" w14:textId="390CB37F"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6558AE16" w14:textId="225BDE94" w:rsidR="0041244E" w:rsidRPr="00C2523C" w:rsidRDefault="0041244E" w:rsidP="00277373">
            <w:pPr>
              <w:rPr>
                <w:rFonts w:cstheme="minorHAnsi"/>
                <w:sz w:val="24"/>
                <w:szCs w:val="24"/>
              </w:rPr>
            </w:pPr>
            <w:r w:rsidRPr="00C2523C">
              <w:rPr>
                <w:rFonts w:cstheme="minorHAnsi"/>
                <w:sz w:val="24"/>
                <w:szCs w:val="24"/>
              </w:rPr>
              <w:t>Art. 11</w:t>
            </w:r>
          </w:p>
        </w:tc>
        <w:tc>
          <w:tcPr>
            <w:tcW w:w="7229" w:type="dxa"/>
          </w:tcPr>
          <w:p w14:paraId="5AF5C57A" w14:textId="7777777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a) ust. 1:</w:t>
            </w:r>
          </w:p>
          <w:p w14:paraId="1C566CB6" w14:textId="6F43328B"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 wyjaśnienia wymaga, czy nadużycie w komunikacji elektronicznej wskazane w tym</w:t>
            </w:r>
            <w:r w:rsidR="004B5968" w:rsidRPr="00C2523C">
              <w:rPr>
                <w:rFonts w:cstheme="minorHAnsi"/>
                <w:sz w:val="24"/>
                <w:szCs w:val="24"/>
              </w:rPr>
              <w:t xml:space="preserve"> </w:t>
            </w:r>
            <w:r w:rsidRPr="00C2523C">
              <w:rPr>
                <w:rFonts w:cstheme="minorHAnsi"/>
                <w:sz w:val="24"/>
                <w:szCs w:val="24"/>
              </w:rPr>
              <w:t>przepisie wpisuje się w katalog nadużyć określony w art. 3 ust. 1 projektu, czy jest to kolejne</w:t>
            </w:r>
            <w:r w:rsidR="004B5968" w:rsidRPr="00C2523C">
              <w:rPr>
                <w:rFonts w:cstheme="minorHAnsi"/>
                <w:sz w:val="24"/>
                <w:szCs w:val="24"/>
              </w:rPr>
              <w:t xml:space="preserve"> </w:t>
            </w:r>
            <w:r w:rsidRPr="00C2523C">
              <w:rPr>
                <w:rFonts w:cstheme="minorHAnsi"/>
                <w:sz w:val="24"/>
                <w:szCs w:val="24"/>
              </w:rPr>
              <w:t>nadużycie niewymienione w tym otwartym katalogu – co wymagałoby uzupełnienia,</w:t>
            </w:r>
          </w:p>
          <w:p w14:paraId="0D044E0D" w14:textId="2E8D743E"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 regulację dotyczącą projektowanego porozumienia należy uzupełnić o katalog</w:t>
            </w:r>
            <w:r w:rsidR="004B5968" w:rsidRPr="00C2523C">
              <w:rPr>
                <w:rFonts w:cstheme="minorHAnsi"/>
                <w:sz w:val="24"/>
                <w:szCs w:val="24"/>
              </w:rPr>
              <w:t xml:space="preserve"> </w:t>
            </w:r>
            <w:r w:rsidRPr="00C2523C">
              <w:rPr>
                <w:rFonts w:cstheme="minorHAnsi"/>
                <w:sz w:val="24"/>
                <w:szCs w:val="24"/>
              </w:rPr>
              <w:t>niezbędnych elementów tego porozumienia,</w:t>
            </w:r>
          </w:p>
          <w:p w14:paraId="374C3C4F" w14:textId="6D0BCE9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b) ust. 2 – wyjaśnienia wymaga, co oznacza, że jawna lista ostrzeżeń dotyczących</w:t>
            </w:r>
            <w:r w:rsidR="004B5968" w:rsidRPr="00C2523C">
              <w:rPr>
                <w:rFonts w:cstheme="minorHAnsi"/>
                <w:sz w:val="24"/>
                <w:szCs w:val="24"/>
              </w:rPr>
              <w:t xml:space="preserve"> </w:t>
            </w:r>
            <w:r w:rsidRPr="00C2523C">
              <w:rPr>
                <w:rFonts w:cstheme="minorHAnsi"/>
                <w:sz w:val="24"/>
                <w:szCs w:val="24"/>
              </w:rPr>
              <w:t>domen internetowych, które służą do nieuprawnionego wykorzystania numeru lub</w:t>
            </w:r>
          </w:p>
          <w:p w14:paraId="02B269F6" w14:textId="7777777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lastRenderedPageBreak/>
              <w:t>identyfikatora użytkownika wywołującego połączenie głosowe jest elementem porozumienia,</w:t>
            </w:r>
          </w:p>
          <w:p w14:paraId="02A9A259" w14:textId="59006CED"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c) ust. 3 – zgodnie z tym przepisem CSIRT NASK opracowuje, prowadzi i utrzymuje</w:t>
            </w:r>
            <w:r w:rsidR="004B5968" w:rsidRPr="00C2523C">
              <w:rPr>
                <w:rFonts w:cstheme="minorHAnsi"/>
                <w:sz w:val="24"/>
                <w:szCs w:val="24"/>
              </w:rPr>
              <w:t xml:space="preserve"> </w:t>
            </w:r>
            <w:r w:rsidRPr="00C2523C">
              <w:rPr>
                <w:rFonts w:cstheme="minorHAnsi"/>
                <w:sz w:val="24"/>
                <w:szCs w:val="24"/>
              </w:rPr>
              <w:t>jawną listę ostrzeżeń, natomiast jak wskazano w ust. 1 - porozumienie dotyczy prowadzenia</w:t>
            </w:r>
          </w:p>
          <w:p w14:paraId="02095628" w14:textId="2ADE1690"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i utrzymywania jawnej listy ostrzeżeń – kwestia różnicy w zakresie zadań podmiotu</w:t>
            </w:r>
            <w:r w:rsidR="004B5968" w:rsidRPr="00C2523C">
              <w:rPr>
                <w:rFonts w:cstheme="minorHAnsi"/>
                <w:sz w:val="24"/>
                <w:szCs w:val="24"/>
              </w:rPr>
              <w:t xml:space="preserve"> </w:t>
            </w:r>
            <w:r w:rsidRPr="00C2523C">
              <w:rPr>
                <w:rFonts w:cstheme="minorHAnsi"/>
                <w:sz w:val="24"/>
                <w:szCs w:val="24"/>
              </w:rPr>
              <w:t>prowadzącego listę wymaga wyjaśnienia albo ujednolicenia. Dodatkowo uregulować należy</w:t>
            </w:r>
          </w:p>
          <w:p w14:paraId="3B3ADB67" w14:textId="7777777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sposób prowadzenia tej listy i zakres danych/informacji w niej zawartych,</w:t>
            </w:r>
          </w:p>
          <w:p w14:paraId="0026CF85" w14:textId="6B123E49"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d) ust. 6 – mając na uwadze, że porozumienia, o których mowa w ust. 1 i 2, zawierane</w:t>
            </w:r>
            <w:r w:rsidR="004B5968" w:rsidRPr="00C2523C">
              <w:rPr>
                <w:rFonts w:cstheme="minorHAnsi"/>
                <w:sz w:val="24"/>
                <w:szCs w:val="24"/>
              </w:rPr>
              <w:t xml:space="preserve"> </w:t>
            </w:r>
            <w:r w:rsidRPr="00C2523C">
              <w:rPr>
                <w:rFonts w:cstheme="minorHAnsi"/>
                <w:sz w:val="24"/>
                <w:szCs w:val="24"/>
              </w:rPr>
              <w:t>są także w zakresie uniemożliwienia dostępu do stron służących do wyłudzeń, wyjaśnienia</w:t>
            </w:r>
          </w:p>
          <w:p w14:paraId="161B62CD" w14:textId="437C87F2" w:rsidR="0041244E" w:rsidRPr="00C2523C" w:rsidRDefault="0041244E" w:rsidP="00847111">
            <w:pPr>
              <w:autoSpaceDE w:val="0"/>
              <w:autoSpaceDN w:val="0"/>
              <w:adjustRightInd w:val="0"/>
              <w:rPr>
                <w:rFonts w:cstheme="minorHAnsi"/>
                <w:sz w:val="24"/>
                <w:szCs w:val="24"/>
              </w:rPr>
            </w:pPr>
            <w:r w:rsidRPr="00C2523C">
              <w:rPr>
                <w:rFonts w:cstheme="minorHAnsi"/>
                <w:sz w:val="24"/>
                <w:szCs w:val="24"/>
              </w:rPr>
              <w:t>wymaga określona w ust. 6 jedynie możliwość, a nie obowiązek, uniemożliwiania, przez</w:t>
            </w:r>
            <w:r w:rsidR="004B5968" w:rsidRPr="00C2523C">
              <w:rPr>
                <w:rFonts w:cstheme="minorHAnsi"/>
                <w:sz w:val="24"/>
                <w:szCs w:val="24"/>
              </w:rPr>
              <w:t xml:space="preserve"> </w:t>
            </w:r>
            <w:r w:rsidRPr="00C2523C">
              <w:rPr>
                <w:rFonts w:cstheme="minorHAnsi"/>
                <w:sz w:val="24"/>
                <w:szCs w:val="24"/>
              </w:rPr>
              <w:t>przedsiębiorcę telekomunikacyjnego, użytkownikom internetu dostępu do stron</w:t>
            </w:r>
            <w:r w:rsidR="004B5968" w:rsidRPr="00C2523C">
              <w:rPr>
                <w:rFonts w:cstheme="minorHAnsi"/>
                <w:sz w:val="24"/>
                <w:szCs w:val="24"/>
              </w:rPr>
              <w:t xml:space="preserve"> </w:t>
            </w:r>
            <w:r w:rsidRPr="00C2523C">
              <w:rPr>
                <w:rFonts w:cstheme="minorHAnsi"/>
                <w:sz w:val="24"/>
                <w:szCs w:val="24"/>
              </w:rPr>
              <w:t>internetowych wykorzystujących nazwy domen internetowych wpisanych na listę, o której</w:t>
            </w:r>
            <w:r w:rsidR="00847111" w:rsidRPr="00C2523C">
              <w:rPr>
                <w:rFonts w:cstheme="minorHAnsi"/>
                <w:sz w:val="24"/>
                <w:szCs w:val="24"/>
              </w:rPr>
              <w:t xml:space="preserve"> </w:t>
            </w:r>
            <w:r w:rsidRPr="00C2523C">
              <w:rPr>
                <w:rFonts w:cstheme="minorHAnsi"/>
                <w:sz w:val="24"/>
                <w:szCs w:val="24"/>
              </w:rPr>
              <w:t>mowa w ust. 1;</w:t>
            </w:r>
          </w:p>
        </w:tc>
        <w:tc>
          <w:tcPr>
            <w:tcW w:w="3509" w:type="dxa"/>
          </w:tcPr>
          <w:p w14:paraId="365E4AC2" w14:textId="0FB37C41" w:rsidR="00FD071B" w:rsidRPr="00C2523C" w:rsidRDefault="00BF72A3" w:rsidP="00277373">
            <w:pPr>
              <w:rPr>
                <w:rFonts w:cstheme="minorHAnsi"/>
                <w:sz w:val="24"/>
                <w:szCs w:val="24"/>
              </w:rPr>
            </w:pPr>
            <w:r w:rsidRPr="00C2523C">
              <w:rPr>
                <w:rFonts w:cstheme="minorHAnsi"/>
                <w:sz w:val="24"/>
                <w:szCs w:val="24"/>
              </w:rPr>
              <w:lastRenderedPageBreak/>
              <w:t xml:space="preserve">Uwaga </w:t>
            </w:r>
            <w:r w:rsidRPr="00C2523C">
              <w:rPr>
                <w:rFonts w:cstheme="minorHAnsi"/>
                <w:b/>
                <w:sz w:val="24"/>
                <w:szCs w:val="24"/>
              </w:rPr>
              <w:t>w</w:t>
            </w:r>
            <w:r w:rsidR="00C62D8F" w:rsidRPr="00C2523C">
              <w:rPr>
                <w:rFonts w:cstheme="minorHAnsi"/>
                <w:b/>
                <w:sz w:val="24"/>
                <w:szCs w:val="24"/>
              </w:rPr>
              <w:t>yjaśni</w:t>
            </w:r>
            <w:r w:rsidRPr="00C2523C">
              <w:rPr>
                <w:rFonts w:cstheme="minorHAnsi"/>
                <w:b/>
                <w:sz w:val="24"/>
                <w:szCs w:val="24"/>
              </w:rPr>
              <w:t>ona</w:t>
            </w:r>
            <w:r w:rsidR="00C62D8F" w:rsidRPr="00C2523C">
              <w:rPr>
                <w:rFonts w:cstheme="minorHAnsi"/>
                <w:b/>
                <w:sz w:val="24"/>
                <w:szCs w:val="24"/>
              </w:rPr>
              <w:t xml:space="preserve"> </w:t>
            </w:r>
          </w:p>
          <w:p w14:paraId="39C85EAF" w14:textId="73B294B0" w:rsidR="00FD071B" w:rsidRPr="00C2523C" w:rsidRDefault="00FD071B" w:rsidP="002F0E46">
            <w:pPr>
              <w:pStyle w:val="Akapitzlist"/>
              <w:numPr>
                <w:ilvl w:val="0"/>
                <w:numId w:val="13"/>
              </w:numPr>
              <w:spacing w:line="240" w:lineRule="auto"/>
              <w:rPr>
                <w:rFonts w:cstheme="minorHAnsi"/>
                <w:sz w:val="24"/>
                <w:szCs w:val="24"/>
              </w:rPr>
            </w:pPr>
            <w:r w:rsidRPr="00C2523C">
              <w:rPr>
                <w:sz w:val="24"/>
                <w:szCs w:val="24"/>
              </w:rPr>
              <w:t xml:space="preserve">Złośliwe domeny internetowe wykorzystywane są często jako część ataków smishingowych. Jest to więc narzędzie wykorzystywane przy dokonywaniu ww. nadużyć. </w:t>
            </w:r>
          </w:p>
          <w:p w14:paraId="2EA3D72B" w14:textId="4B826C25" w:rsidR="00FD071B" w:rsidRPr="00C2523C" w:rsidRDefault="00C62D8F" w:rsidP="002F0E46">
            <w:pPr>
              <w:pStyle w:val="Akapitzlist"/>
              <w:numPr>
                <w:ilvl w:val="0"/>
                <w:numId w:val="13"/>
              </w:numPr>
              <w:spacing w:line="240" w:lineRule="auto"/>
              <w:rPr>
                <w:rFonts w:cstheme="minorHAnsi"/>
                <w:sz w:val="24"/>
                <w:szCs w:val="24"/>
              </w:rPr>
            </w:pPr>
            <w:r w:rsidRPr="00C2523C">
              <w:rPr>
                <w:sz w:val="24"/>
                <w:szCs w:val="24"/>
              </w:rPr>
              <w:lastRenderedPageBreak/>
              <w:t xml:space="preserve">W porozumieniu będą określone pewne kwestie związane z funkcjonowaniem listy ostrzeżeń w szczególności uniemożliwianie dostępu do tych domen. </w:t>
            </w:r>
          </w:p>
          <w:p w14:paraId="657BA2ED" w14:textId="0BACA277" w:rsidR="00C62D8F" w:rsidRPr="00C2523C" w:rsidRDefault="00C62D8F" w:rsidP="002F0E46">
            <w:pPr>
              <w:pStyle w:val="Akapitzlist"/>
              <w:numPr>
                <w:ilvl w:val="0"/>
                <w:numId w:val="13"/>
              </w:numPr>
              <w:spacing w:line="240" w:lineRule="auto"/>
              <w:rPr>
                <w:rFonts w:cstheme="minorHAnsi"/>
                <w:sz w:val="24"/>
                <w:szCs w:val="24"/>
              </w:rPr>
            </w:pPr>
            <w:r w:rsidRPr="00C2523C">
              <w:rPr>
                <w:rFonts w:cstheme="minorHAnsi"/>
                <w:sz w:val="24"/>
                <w:szCs w:val="24"/>
              </w:rPr>
              <w:t xml:space="preserve">Pewne aspekty funkcjonowania listy zastrzeżeń </w:t>
            </w:r>
            <w:r w:rsidR="00A94D70" w:rsidRPr="00C2523C">
              <w:rPr>
                <w:rFonts w:cstheme="minorHAnsi"/>
                <w:sz w:val="24"/>
                <w:szCs w:val="24"/>
              </w:rPr>
              <w:t xml:space="preserve">będą </w:t>
            </w:r>
            <w:r w:rsidRPr="00C2523C">
              <w:rPr>
                <w:rFonts w:cstheme="minorHAnsi"/>
                <w:sz w:val="24"/>
                <w:szCs w:val="24"/>
              </w:rPr>
              <w:t>określone w porozumieniu. Samo opracowanie listy będzie zadaniem CSIRT NASK.</w:t>
            </w:r>
          </w:p>
          <w:p w14:paraId="33AA2006" w14:textId="4597A5BD" w:rsidR="0041244E" w:rsidRPr="00C2523C" w:rsidRDefault="00C62D8F" w:rsidP="002F0E46">
            <w:pPr>
              <w:pStyle w:val="Akapitzlist"/>
              <w:numPr>
                <w:ilvl w:val="0"/>
                <w:numId w:val="13"/>
              </w:numPr>
              <w:spacing w:line="240" w:lineRule="auto"/>
              <w:rPr>
                <w:sz w:val="24"/>
                <w:szCs w:val="24"/>
              </w:rPr>
            </w:pPr>
            <w:r w:rsidRPr="00C2523C">
              <w:rPr>
                <w:rFonts w:cstheme="minorBidi"/>
                <w:sz w:val="24"/>
                <w:szCs w:val="24"/>
              </w:rPr>
              <w:t xml:space="preserve">W porozumieniu będą określone szczegóły techniczne i organizacyjne związane z procesem uniemożliwiania dostępu. </w:t>
            </w:r>
          </w:p>
        </w:tc>
      </w:tr>
      <w:tr w:rsidR="00C2523C" w:rsidRPr="00C2523C" w14:paraId="2313BDE6" w14:textId="77777777" w:rsidTr="002F0E46">
        <w:tc>
          <w:tcPr>
            <w:tcW w:w="750" w:type="dxa"/>
          </w:tcPr>
          <w:p w14:paraId="6835838F" w14:textId="5E8250F4"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6804F5CA" w14:textId="645425CD"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2156355B" w14:textId="02D50CAE" w:rsidR="0041244E" w:rsidRPr="00C2523C" w:rsidRDefault="0041244E" w:rsidP="00277373">
            <w:pPr>
              <w:rPr>
                <w:rFonts w:cstheme="minorHAnsi"/>
                <w:sz w:val="24"/>
                <w:szCs w:val="24"/>
              </w:rPr>
            </w:pPr>
            <w:r w:rsidRPr="00C2523C">
              <w:rPr>
                <w:rFonts w:cstheme="minorHAnsi"/>
                <w:sz w:val="24"/>
                <w:szCs w:val="24"/>
              </w:rPr>
              <w:t>Art. 12</w:t>
            </w:r>
          </w:p>
        </w:tc>
        <w:tc>
          <w:tcPr>
            <w:tcW w:w="7229" w:type="dxa"/>
          </w:tcPr>
          <w:p w14:paraId="034997EA" w14:textId="5BF68307" w:rsidR="0041244E" w:rsidRPr="00C2523C" w:rsidRDefault="0041244E" w:rsidP="00847111">
            <w:pPr>
              <w:autoSpaceDE w:val="0"/>
              <w:autoSpaceDN w:val="0"/>
              <w:adjustRightInd w:val="0"/>
              <w:rPr>
                <w:rFonts w:cstheme="minorHAnsi"/>
                <w:sz w:val="24"/>
                <w:szCs w:val="24"/>
              </w:rPr>
            </w:pPr>
            <w:r w:rsidRPr="00C2523C">
              <w:rPr>
                <w:rFonts w:cstheme="minorHAnsi"/>
                <w:sz w:val="24"/>
                <w:szCs w:val="24"/>
              </w:rPr>
              <w:t>odnosząc się do projektowanego art. 12 ust. 1 – wyjaśnienia wymaga pojęcie</w:t>
            </w:r>
            <w:r w:rsidR="00DE5070" w:rsidRPr="00C2523C">
              <w:rPr>
                <w:rFonts w:cstheme="minorHAnsi"/>
                <w:sz w:val="24"/>
                <w:szCs w:val="24"/>
              </w:rPr>
              <w:t xml:space="preserve"> </w:t>
            </w:r>
            <w:r w:rsidRPr="00C2523C">
              <w:rPr>
                <w:rFonts w:cstheme="minorHAnsi"/>
                <w:sz w:val="24"/>
                <w:szCs w:val="24"/>
              </w:rPr>
              <w:t>„aktywnego konta pocztowego” jako niewystępującego w systemie prawa. Ponadto zwrócić</w:t>
            </w:r>
            <w:r w:rsidR="004B5968" w:rsidRPr="00C2523C">
              <w:rPr>
                <w:rFonts w:cstheme="minorHAnsi"/>
                <w:sz w:val="24"/>
                <w:szCs w:val="24"/>
              </w:rPr>
              <w:t xml:space="preserve"> </w:t>
            </w:r>
            <w:r w:rsidRPr="00C2523C">
              <w:rPr>
                <w:rFonts w:cstheme="minorHAnsi"/>
                <w:sz w:val="24"/>
                <w:szCs w:val="24"/>
              </w:rPr>
              <w:t>należy uwagę na specjalistyczne określenia wskazane w części wspólnej tego przepisu –</w:t>
            </w:r>
            <w:r w:rsidR="00DE5070" w:rsidRPr="00C2523C">
              <w:rPr>
                <w:rFonts w:cstheme="minorHAnsi"/>
                <w:sz w:val="24"/>
                <w:szCs w:val="24"/>
              </w:rPr>
              <w:t xml:space="preserve"> </w:t>
            </w:r>
            <w:r w:rsidRPr="00C2523C">
              <w:rPr>
                <w:rFonts w:cstheme="minorHAnsi"/>
                <w:sz w:val="24"/>
                <w:szCs w:val="24"/>
              </w:rPr>
              <w:t>potwierdzenia w tym wypadku wymaga potrzeba umieszczenia w akcie rangi ustawowej</w:t>
            </w:r>
            <w:r w:rsidR="00DE5070" w:rsidRPr="00C2523C">
              <w:rPr>
                <w:rFonts w:cstheme="minorHAnsi"/>
                <w:sz w:val="24"/>
                <w:szCs w:val="24"/>
              </w:rPr>
              <w:t xml:space="preserve"> </w:t>
            </w:r>
            <w:r w:rsidRPr="00C2523C">
              <w:rPr>
                <w:rFonts w:cstheme="minorHAnsi"/>
                <w:sz w:val="24"/>
                <w:szCs w:val="24"/>
              </w:rPr>
              <w:t>przepisów technicznych, które mogą ulegać częstym modyfikacjom. Dodatkowo, jak się</w:t>
            </w:r>
            <w:r w:rsidR="00DE5070" w:rsidRPr="00C2523C">
              <w:rPr>
                <w:rFonts w:cstheme="minorHAnsi"/>
                <w:sz w:val="24"/>
                <w:szCs w:val="24"/>
              </w:rPr>
              <w:t xml:space="preserve"> </w:t>
            </w:r>
            <w:r w:rsidRPr="00C2523C">
              <w:rPr>
                <w:rFonts w:cstheme="minorHAnsi"/>
                <w:sz w:val="24"/>
                <w:szCs w:val="24"/>
              </w:rPr>
              <w:t>wydaje, doprecyzowania wymaga obowiązek stosowania tych mechanizmów – brak bowiem</w:t>
            </w:r>
            <w:r w:rsidR="00DE5070" w:rsidRPr="00C2523C">
              <w:rPr>
                <w:rFonts w:cstheme="minorHAnsi"/>
                <w:sz w:val="24"/>
                <w:szCs w:val="24"/>
              </w:rPr>
              <w:t xml:space="preserve"> </w:t>
            </w:r>
            <w:r w:rsidRPr="00C2523C">
              <w:rPr>
                <w:rFonts w:cstheme="minorHAnsi"/>
                <w:sz w:val="24"/>
                <w:szCs w:val="24"/>
              </w:rPr>
              <w:t>wskazania przedmiotu tego obowiązku, co powoduje konieczność uzupełnienia przepisu bądź</w:t>
            </w:r>
            <w:r w:rsidR="00DE5070" w:rsidRPr="00C2523C">
              <w:rPr>
                <w:rFonts w:cstheme="minorHAnsi"/>
                <w:sz w:val="24"/>
                <w:szCs w:val="24"/>
              </w:rPr>
              <w:t xml:space="preserve"> </w:t>
            </w:r>
            <w:r w:rsidRPr="00C2523C">
              <w:rPr>
                <w:rFonts w:cstheme="minorHAnsi"/>
                <w:sz w:val="24"/>
                <w:szCs w:val="24"/>
              </w:rPr>
              <w:t>wyjaśnienia braku tego uzupełnienia w uzasadnieniu do projektu;</w:t>
            </w:r>
          </w:p>
        </w:tc>
        <w:tc>
          <w:tcPr>
            <w:tcW w:w="3509" w:type="dxa"/>
          </w:tcPr>
          <w:p w14:paraId="395593CC" w14:textId="3DD99D5D" w:rsidR="0041244E" w:rsidRPr="00C2523C" w:rsidRDefault="00044E5E" w:rsidP="00277373">
            <w:pPr>
              <w:rPr>
                <w:rFonts w:cstheme="minorHAnsi"/>
                <w:b/>
                <w:sz w:val="24"/>
                <w:szCs w:val="24"/>
              </w:rPr>
            </w:pPr>
            <w:r w:rsidRPr="00C2523C">
              <w:rPr>
                <w:rFonts w:cstheme="minorHAnsi"/>
                <w:b/>
                <w:sz w:val="24"/>
                <w:szCs w:val="24"/>
              </w:rPr>
              <w:t xml:space="preserve">Uwaga uwzględniona poprzez usunięcie odniesienia „do aktywnego konta pocztowego” </w:t>
            </w:r>
          </w:p>
        </w:tc>
      </w:tr>
      <w:tr w:rsidR="00C2523C" w:rsidRPr="00C2523C" w14:paraId="36E8F06E" w14:textId="77777777" w:rsidTr="002F0E46">
        <w:tc>
          <w:tcPr>
            <w:tcW w:w="750" w:type="dxa"/>
          </w:tcPr>
          <w:p w14:paraId="5C5377E3" w14:textId="77777777" w:rsidR="00052629" w:rsidRPr="00C2523C" w:rsidRDefault="00052629"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092B26B8" w14:textId="3955E7E2" w:rsidR="00052629" w:rsidRPr="00C2523C" w:rsidRDefault="00052629" w:rsidP="00277373">
            <w:pPr>
              <w:rPr>
                <w:rFonts w:cstheme="minorHAnsi"/>
                <w:sz w:val="24"/>
                <w:szCs w:val="24"/>
              </w:rPr>
            </w:pPr>
            <w:r w:rsidRPr="00C2523C">
              <w:rPr>
                <w:rFonts w:cstheme="minorHAnsi"/>
                <w:sz w:val="24"/>
                <w:szCs w:val="24"/>
              </w:rPr>
              <w:t>MRiT</w:t>
            </w:r>
          </w:p>
        </w:tc>
        <w:tc>
          <w:tcPr>
            <w:tcW w:w="1328" w:type="dxa"/>
          </w:tcPr>
          <w:p w14:paraId="57791FDB" w14:textId="213B0191" w:rsidR="00052629" w:rsidRPr="00C2523C" w:rsidRDefault="00052629" w:rsidP="00277373">
            <w:pPr>
              <w:rPr>
                <w:rFonts w:cstheme="minorHAnsi"/>
                <w:sz w:val="24"/>
                <w:szCs w:val="24"/>
              </w:rPr>
            </w:pPr>
            <w:r w:rsidRPr="00C2523C">
              <w:rPr>
                <w:rFonts w:cstheme="minorHAnsi"/>
                <w:sz w:val="24"/>
                <w:szCs w:val="24"/>
              </w:rPr>
              <w:t>Art. 12 ust. 2</w:t>
            </w:r>
          </w:p>
        </w:tc>
        <w:tc>
          <w:tcPr>
            <w:tcW w:w="7229" w:type="dxa"/>
          </w:tcPr>
          <w:p w14:paraId="42C1E43C" w14:textId="649870F5" w:rsidR="00052629" w:rsidRPr="00C2523C" w:rsidRDefault="00052629" w:rsidP="00052629">
            <w:pPr>
              <w:autoSpaceDE w:val="0"/>
              <w:autoSpaceDN w:val="0"/>
              <w:adjustRightInd w:val="0"/>
              <w:rPr>
                <w:rFonts w:cstheme="minorHAnsi"/>
                <w:sz w:val="24"/>
                <w:szCs w:val="24"/>
              </w:rPr>
            </w:pPr>
            <w:r w:rsidRPr="00C2523C">
              <w:rPr>
                <w:rFonts w:cstheme="minorHAnsi"/>
                <w:sz w:val="24"/>
                <w:szCs w:val="24"/>
              </w:rPr>
              <w:t>w odpowiedzi na pismo z 15 czerwca br. (znak sprawy: DRC.WL.06110.5.2022) Ministerstwo</w:t>
            </w:r>
            <w:r w:rsidR="00044E5E" w:rsidRPr="00C2523C">
              <w:rPr>
                <w:rFonts w:cstheme="minorHAnsi"/>
                <w:sz w:val="24"/>
                <w:szCs w:val="24"/>
              </w:rPr>
              <w:t xml:space="preserve"> </w:t>
            </w:r>
            <w:r w:rsidRPr="00C2523C">
              <w:rPr>
                <w:rFonts w:cstheme="minorHAnsi"/>
                <w:sz w:val="24"/>
                <w:szCs w:val="24"/>
              </w:rPr>
              <w:t>Rozwoju i Technologii proponuje dodać do art. 12 ustępu 2 o brzmieniu:</w:t>
            </w:r>
          </w:p>
          <w:p w14:paraId="0B361837" w14:textId="4D7E248B" w:rsidR="00052629" w:rsidRPr="00C2523C" w:rsidRDefault="00052629" w:rsidP="00052629">
            <w:pPr>
              <w:autoSpaceDE w:val="0"/>
              <w:autoSpaceDN w:val="0"/>
              <w:adjustRightInd w:val="0"/>
              <w:rPr>
                <w:rFonts w:cstheme="minorHAnsi"/>
                <w:i/>
                <w:sz w:val="24"/>
                <w:szCs w:val="24"/>
              </w:rPr>
            </w:pPr>
            <w:r w:rsidRPr="00C2523C">
              <w:rPr>
                <w:rFonts w:cstheme="minorHAnsi"/>
                <w:i/>
                <w:iCs/>
                <w:sz w:val="24"/>
                <w:szCs w:val="24"/>
              </w:rPr>
              <w:t>"2. CSIRT NASK publikuje na swojej stronie internetowej informację na temat standardów</w:t>
            </w:r>
            <w:r w:rsidR="00044E5E" w:rsidRPr="00C2523C">
              <w:rPr>
                <w:rFonts w:cstheme="minorHAnsi"/>
                <w:i/>
                <w:iCs/>
                <w:sz w:val="24"/>
                <w:szCs w:val="24"/>
              </w:rPr>
              <w:t xml:space="preserve"> </w:t>
            </w:r>
            <w:r w:rsidRPr="00C2523C">
              <w:rPr>
                <w:rFonts w:cstheme="minorHAnsi"/>
                <w:i/>
                <w:iCs/>
                <w:sz w:val="24"/>
                <w:szCs w:val="24"/>
              </w:rPr>
              <w:t>sieciowych RFC (Request for Comments) z odniesieniem do dokumentów umieszczonych na</w:t>
            </w:r>
            <w:r w:rsidR="00044E5E" w:rsidRPr="00C2523C">
              <w:rPr>
                <w:rFonts w:cstheme="minorHAnsi"/>
                <w:i/>
                <w:iCs/>
                <w:sz w:val="24"/>
                <w:szCs w:val="24"/>
              </w:rPr>
              <w:t xml:space="preserve"> </w:t>
            </w:r>
            <w:r w:rsidRPr="00C2523C">
              <w:rPr>
                <w:rFonts w:cstheme="minorHAnsi"/>
                <w:i/>
                <w:iCs/>
                <w:sz w:val="24"/>
                <w:szCs w:val="24"/>
              </w:rPr>
              <w:t>stronach internetowych organizacji Internet Engineering Task Force, które składają się na aktualną</w:t>
            </w:r>
            <w:r w:rsidR="00044E5E" w:rsidRPr="00C2523C">
              <w:rPr>
                <w:rFonts w:cstheme="minorHAnsi"/>
                <w:i/>
                <w:iCs/>
                <w:sz w:val="24"/>
                <w:szCs w:val="24"/>
              </w:rPr>
              <w:t xml:space="preserve"> </w:t>
            </w:r>
            <w:r w:rsidRPr="00C2523C">
              <w:rPr>
                <w:rFonts w:cstheme="minorHAnsi"/>
                <w:i/>
                <w:sz w:val="24"/>
                <w:szCs w:val="24"/>
              </w:rPr>
              <w:t>wersję opisów mechanizmów SPF (Sender Policy Framework), DMARC (Domain-based Message</w:t>
            </w:r>
            <w:r w:rsidR="00044E5E" w:rsidRPr="00C2523C">
              <w:rPr>
                <w:rFonts w:cstheme="minorHAnsi"/>
                <w:i/>
                <w:sz w:val="24"/>
                <w:szCs w:val="24"/>
              </w:rPr>
              <w:t xml:space="preserve"> </w:t>
            </w:r>
            <w:r w:rsidRPr="00C2523C">
              <w:rPr>
                <w:rFonts w:cstheme="minorHAnsi"/>
                <w:i/>
                <w:sz w:val="24"/>
                <w:szCs w:val="24"/>
              </w:rPr>
              <w:t>Authentication Reporting and Conformance) oraz DKIM (DomainKeys Identified Mail)."</w:t>
            </w:r>
          </w:p>
          <w:p w14:paraId="5CC80B8B" w14:textId="074B1A9C" w:rsidR="00052629" w:rsidRPr="00C2523C" w:rsidRDefault="00052629" w:rsidP="00847111">
            <w:pPr>
              <w:autoSpaceDE w:val="0"/>
              <w:autoSpaceDN w:val="0"/>
              <w:adjustRightInd w:val="0"/>
              <w:rPr>
                <w:rFonts w:cstheme="minorHAnsi"/>
                <w:sz w:val="24"/>
                <w:szCs w:val="24"/>
              </w:rPr>
            </w:pPr>
            <w:r w:rsidRPr="00C2523C">
              <w:rPr>
                <w:rFonts w:cstheme="minorHAnsi"/>
                <w:sz w:val="24"/>
                <w:szCs w:val="24"/>
              </w:rPr>
              <w:t>W ostatnich miesiącach nasiliły się ataki na osoby fizyczne z wykorzystaniem usług</w:t>
            </w:r>
            <w:r w:rsidR="00044E5E" w:rsidRPr="00C2523C">
              <w:rPr>
                <w:rFonts w:cstheme="minorHAnsi"/>
                <w:sz w:val="24"/>
                <w:szCs w:val="24"/>
              </w:rPr>
              <w:t xml:space="preserve"> </w:t>
            </w:r>
            <w:r w:rsidRPr="00C2523C">
              <w:rPr>
                <w:rFonts w:cstheme="minorHAnsi"/>
                <w:sz w:val="24"/>
                <w:szCs w:val="24"/>
              </w:rPr>
              <w:t>telekomunikacyjnych. Przestępcy, stosując specjalne bramki internetowe VoIP podszywali się pod</w:t>
            </w:r>
            <w:r w:rsidR="00847111" w:rsidRPr="00C2523C">
              <w:rPr>
                <w:rFonts w:cstheme="minorHAnsi"/>
                <w:sz w:val="24"/>
                <w:szCs w:val="24"/>
              </w:rPr>
              <w:t xml:space="preserve"> </w:t>
            </w:r>
            <w:r w:rsidRPr="00C2523C">
              <w:rPr>
                <w:rFonts w:cstheme="minorHAnsi"/>
                <w:sz w:val="24"/>
                <w:szCs w:val="24"/>
              </w:rPr>
              <w:t>numer zaufanych instytucji czy osoby publiczne i dzwonili z rzekomo prawdziwego numeru. W ten</w:t>
            </w:r>
            <w:r w:rsidR="00044E5E" w:rsidRPr="00C2523C">
              <w:rPr>
                <w:rFonts w:cstheme="minorHAnsi"/>
                <w:sz w:val="24"/>
                <w:szCs w:val="24"/>
              </w:rPr>
              <w:t xml:space="preserve"> </w:t>
            </w:r>
            <w:r w:rsidRPr="00C2523C">
              <w:rPr>
                <w:rFonts w:cstheme="minorHAnsi"/>
                <w:sz w:val="24"/>
                <w:szCs w:val="24"/>
              </w:rPr>
              <w:t>sposób próbowali nakłonić odbiorców do niekorzystnego działania czy w niektórych przypadkach</w:t>
            </w:r>
            <w:r w:rsidR="00044E5E" w:rsidRPr="00C2523C">
              <w:rPr>
                <w:rFonts w:cstheme="minorHAnsi"/>
                <w:sz w:val="24"/>
                <w:szCs w:val="24"/>
              </w:rPr>
              <w:t xml:space="preserve"> </w:t>
            </w:r>
            <w:r w:rsidRPr="00C2523C">
              <w:rPr>
                <w:rFonts w:cstheme="minorHAnsi"/>
                <w:sz w:val="24"/>
                <w:szCs w:val="24"/>
              </w:rPr>
              <w:t>nawet próbowali ich zastraszyć. Oszuści wykorzystywali w ten sposób słabości sieci</w:t>
            </w:r>
            <w:r w:rsidR="00847111" w:rsidRPr="00C2523C">
              <w:rPr>
                <w:rFonts w:cstheme="minorHAnsi"/>
                <w:sz w:val="24"/>
                <w:szCs w:val="24"/>
              </w:rPr>
              <w:t xml:space="preserve"> </w:t>
            </w:r>
            <w:r w:rsidRPr="00C2523C">
              <w:rPr>
                <w:rFonts w:cstheme="minorHAnsi"/>
                <w:sz w:val="24"/>
                <w:szCs w:val="24"/>
              </w:rPr>
              <w:t>telekomunikacyjnych, które powodują, że operatorzy sieci mobilnych często nie są w stanie</w:t>
            </w:r>
            <w:r w:rsidR="00044E5E" w:rsidRPr="00C2523C">
              <w:rPr>
                <w:rFonts w:cstheme="minorHAnsi"/>
                <w:sz w:val="24"/>
                <w:szCs w:val="24"/>
              </w:rPr>
              <w:t xml:space="preserve"> </w:t>
            </w:r>
            <w:r w:rsidRPr="00C2523C">
              <w:rPr>
                <w:rFonts w:cstheme="minorHAnsi"/>
                <w:sz w:val="24"/>
                <w:szCs w:val="24"/>
              </w:rPr>
              <w:t>zweryfikować, czy połączenie w ramach którego jest prezentowany numer faktycznie pochodzi</w:t>
            </w:r>
            <w:r w:rsidR="00044E5E" w:rsidRPr="00C2523C">
              <w:rPr>
                <w:rFonts w:cstheme="minorHAnsi"/>
                <w:sz w:val="24"/>
                <w:szCs w:val="24"/>
              </w:rPr>
              <w:t xml:space="preserve"> </w:t>
            </w:r>
            <w:r w:rsidRPr="00C2523C">
              <w:rPr>
                <w:rFonts w:cstheme="minorHAnsi"/>
                <w:sz w:val="24"/>
                <w:szCs w:val="24"/>
              </w:rPr>
              <w:t>z karty SIM, która jest zarejestrowana dla danego numeru. Zjawisko to występuje pod nazwą CLI</w:t>
            </w:r>
            <w:r w:rsidR="000324E8" w:rsidRPr="00C2523C">
              <w:rPr>
                <w:rFonts w:cstheme="minorHAnsi"/>
                <w:sz w:val="24"/>
                <w:szCs w:val="24"/>
              </w:rPr>
              <w:t xml:space="preserve"> </w:t>
            </w:r>
            <w:r w:rsidRPr="00C2523C">
              <w:rPr>
                <w:rFonts w:cstheme="minorHAnsi"/>
                <w:sz w:val="24"/>
                <w:szCs w:val="24"/>
              </w:rPr>
              <w:t>spoofing.</w:t>
            </w:r>
            <w:r w:rsidR="000324E8" w:rsidRPr="00C2523C">
              <w:rPr>
                <w:rFonts w:cstheme="minorHAnsi"/>
                <w:sz w:val="24"/>
                <w:szCs w:val="24"/>
              </w:rPr>
              <w:t xml:space="preserve"> </w:t>
            </w:r>
            <w:r w:rsidRPr="00C2523C">
              <w:rPr>
                <w:rFonts w:cstheme="minorHAnsi"/>
                <w:sz w:val="24"/>
                <w:szCs w:val="24"/>
              </w:rPr>
              <w:t>Innym zagrożeniem dla użytkowników są fałszywe krótkie wiadomości tekstowe SMS. Oszuści</w:t>
            </w:r>
            <w:r w:rsidR="000324E8" w:rsidRPr="00C2523C">
              <w:rPr>
                <w:rFonts w:cstheme="minorHAnsi"/>
                <w:sz w:val="24"/>
                <w:szCs w:val="24"/>
              </w:rPr>
              <w:t xml:space="preserve"> </w:t>
            </w:r>
            <w:r w:rsidRPr="00C2523C">
              <w:rPr>
                <w:rFonts w:cstheme="minorHAnsi"/>
                <w:sz w:val="24"/>
                <w:szCs w:val="24"/>
              </w:rPr>
              <w:t>podszywając się pod zaufane instytucje próbują nakłonić nieświadome ofiary do ujawnienia</w:t>
            </w:r>
            <w:r w:rsidR="000324E8" w:rsidRPr="00C2523C">
              <w:rPr>
                <w:rFonts w:cstheme="minorHAnsi"/>
                <w:sz w:val="24"/>
                <w:szCs w:val="24"/>
              </w:rPr>
              <w:t xml:space="preserve"> </w:t>
            </w:r>
            <w:r w:rsidRPr="00C2523C">
              <w:rPr>
                <w:rFonts w:cstheme="minorHAnsi"/>
                <w:sz w:val="24"/>
                <w:szCs w:val="24"/>
              </w:rPr>
              <w:t>danych osobowych, informacji o karcie kredytowej czy zainfekować urządzenie poprzez kliknięcie</w:t>
            </w:r>
            <w:r w:rsidR="000324E8" w:rsidRPr="00C2523C">
              <w:rPr>
                <w:rFonts w:cstheme="minorHAnsi"/>
                <w:sz w:val="24"/>
                <w:szCs w:val="24"/>
              </w:rPr>
              <w:t xml:space="preserve"> </w:t>
            </w:r>
            <w:r w:rsidRPr="00C2523C">
              <w:rPr>
                <w:rFonts w:cstheme="minorHAnsi"/>
                <w:sz w:val="24"/>
                <w:szCs w:val="24"/>
              </w:rPr>
              <w:t>w link w wiadomości. Zjawisko to występuje pod nazwą smishingu.</w:t>
            </w:r>
            <w:r w:rsidR="00847111" w:rsidRPr="00C2523C">
              <w:rPr>
                <w:rFonts w:cstheme="minorHAnsi"/>
                <w:sz w:val="24"/>
                <w:szCs w:val="24"/>
              </w:rPr>
              <w:t xml:space="preserve"> </w:t>
            </w:r>
            <w:r w:rsidRPr="00C2523C">
              <w:rPr>
                <w:rFonts w:cstheme="minorHAnsi"/>
                <w:sz w:val="24"/>
                <w:szCs w:val="24"/>
              </w:rPr>
              <w:t>W tej sytuacji konieczne jest wprowadzenia odpowiednich przepisów dotyczących zwalczania</w:t>
            </w:r>
            <w:r w:rsidR="000324E8" w:rsidRPr="00C2523C">
              <w:rPr>
                <w:rFonts w:cstheme="minorHAnsi"/>
                <w:sz w:val="24"/>
                <w:szCs w:val="24"/>
              </w:rPr>
              <w:t xml:space="preserve"> </w:t>
            </w:r>
            <w:r w:rsidRPr="00C2523C">
              <w:rPr>
                <w:rFonts w:cstheme="minorHAnsi"/>
                <w:sz w:val="24"/>
                <w:szCs w:val="24"/>
              </w:rPr>
              <w:t>nadużyć w komunikacji elektronicznej. Proponowane rozwiązania mają służyć stworzeniu</w:t>
            </w:r>
            <w:r w:rsidR="000324E8" w:rsidRPr="00C2523C">
              <w:rPr>
                <w:rFonts w:cstheme="minorHAnsi"/>
                <w:sz w:val="24"/>
                <w:szCs w:val="24"/>
              </w:rPr>
              <w:t xml:space="preserve"> </w:t>
            </w:r>
            <w:r w:rsidRPr="00C2523C">
              <w:rPr>
                <w:rFonts w:cstheme="minorHAnsi"/>
                <w:sz w:val="24"/>
                <w:szCs w:val="24"/>
              </w:rPr>
              <w:t xml:space="preserve">odpowiednich ram prawnych do podejmowania </w:t>
            </w:r>
            <w:r w:rsidRPr="00C2523C">
              <w:rPr>
                <w:rFonts w:cstheme="minorHAnsi"/>
                <w:sz w:val="24"/>
                <w:szCs w:val="24"/>
              </w:rPr>
              <w:lastRenderedPageBreak/>
              <w:t>działań w zakresie zapobiegania nadużyciom</w:t>
            </w:r>
            <w:r w:rsidR="000324E8" w:rsidRPr="00C2523C">
              <w:rPr>
                <w:rFonts w:cstheme="minorHAnsi"/>
                <w:sz w:val="24"/>
                <w:szCs w:val="24"/>
              </w:rPr>
              <w:t xml:space="preserve"> </w:t>
            </w:r>
            <w:r w:rsidRPr="00C2523C">
              <w:rPr>
                <w:rFonts w:cstheme="minorHAnsi"/>
                <w:sz w:val="24"/>
                <w:szCs w:val="24"/>
              </w:rPr>
              <w:t>w komunikacji elektronicznej przez przedsiębiorców telekomunikacyjnych, a w dalszej</w:t>
            </w:r>
            <w:r w:rsidR="000324E8" w:rsidRPr="00C2523C">
              <w:rPr>
                <w:rFonts w:cstheme="minorHAnsi"/>
                <w:sz w:val="24"/>
                <w:szCs w:val="24"/>
              </w:rPr>
              <w:t xml:space="preserve"> </w:t>
            </w:r>
            <w:r w:rsidRPr="00C2523C">
              <w:rPr>
                <w:rFonts w:cstheme="minorHAnsi"/>
                <w:sz w:val="24"/>
                <w:szCs w:val="24"/>
              </w:rPr>
              <w:t>perspektywie pozwolą w większym stopniu niż obecnie ograniczyć skalę nadużyć i chronić</w:t>
            </w:r>
            <w:r w:rsidR="000324E8" w:rsidRPr="00C2523C">
              <w:rPr>
                <w:rFonts w:cstheme="minorHAnsi"/>
                <w:sz w:val="24"/>
                <w:szCs w:val="24"/>
              </w:rPr>
              <w:t xml:space="preserve"> </w:t>
            </w:r>
            <w:r w:rsidRPr="00C2523C">
              <w:rPr>
                <w:rFonts w:cstheme="minorHAnsi"/>
                <w:sz w:val="24"/>
                <w:szCs w:val="24"/>
              </w:rPr>
              <w:t>bezpieczeństwo użytkowników. Kwestia zwalczania nadużyć nie jest regulowana w Europejskim</w:t>
            </w:r>
            <w:r w:rsidR="000324E8" w:rsidRPr="00C2523C">
              <w:rPr>
                <w:rFonts w:cstheme="minorHAnsi"/>
                <w:sz w:val="24"/>
                <w:szCs w:val="24"/>
              </w:rPr>
              <w:t xml:space="preserve"> </w:t>
            </w:r>
            <w:r w:rsidRPr="00C2523C">
              <w:rPr>
                <w:rFonts w:cstheme="minorHAnsi"/>
                <w:sz w:val="24"/>
                <w:szCs w:val="24"/>
              </w:rPr>
              <w:t>Kodeksie Łączności Elektronicznej oraz nie była dotychczas regulowana w ustawie - Prawo</w:t>
            </w:r>
            <w:r w:rsidR="000324E8" w:rsidRPr="00C2523C">
              <w:rPr>
                <w:rFonts w:cstheme="minorHAnsi"/>
                <w:sz w:val="24"/>
                <w:szCs w:val="24"/>
              </w:rPr>
              <w:t xml:space="preserve"> </w:t>
            </w:r>
            <w:r w:rsidRPr="00C2523C">
              <w:rPr>
                <w:rFonts w:cstheme="minorHAnsi"/>
                <w:sz w:val="24"/>
                <w:szCs w:val="24"/>
              </w:rPr>
              <w:t>telekomunikacyjne.</w:t>
            </w:r>
          </w:p>
        </w:tc>
        <w:tc>
          <w:tcPr>
            <w:tcW w:w="3509" w:type="dxa"/>
          </w:tcPr>
          <w:p w14:paraId="016FBE6C" w14:textId="508C8A34" w:rsidR="00052629" w:rsidRPr="00C2523C" w:rsidRDefault="00044E5E" w:rsidP="00277373">
            <w:pPr>
              <w:rPr>
                <w:rFonts w:cstheme="minorHAnsi"/>
                <w:b/>
                <w:sz w:val="24"/>
                <w:szCs w:val="24"/>
              </w:rPr>
            </w:pPr>
            <w:r w:rsidRPr="00C2523C">
              <w:rPr>
                <w:rFonts w:cstheme="minorHAnsi"/>
                <w:b/>
                <w:sz w:val="24"/>
                <w:szCs w:val="24"/>
              </w:rPr>
              <w:lastRenderedPageBreak/>
              <w:t>Uwaga uwzględniona</w:t>
            </w:r>
          </w:p>
        </w:tc>
      </w:tr>
      <w:tr w:rsidR="00C2523C" w:rsidRPr="00C2523C" w14:paraId="252C7492" w14:textId="77777777" w:rsidTr="002F0E46">
        <w:tc>
          <w:tcPr>
            <w:tcW w:w="750" w:type="dxa"/>
          </w:tcPr>
          <w:p w14:paraId="51517C5D" w14:textId="77777777" w:rsidR="00DC3FD6" w:rsidRPr="00C2523C" w:rsidRDefault="00DC3FD6"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3E1CDD6B" w14:textId="4D392AE7" w:rsidR="00DC3FD6" w:rsidRPr="00C2523C" w:rsidRDefault="00DC3FD6" w:rsidP="00277373">
            <w:pPr>
              <w:rPr>
                <w:rFonts w:cstheme="minorHAnsi"/>
                <w:sz w:val="24"/>
                <w:szCs w:val="24"/>
              </w:rPr>
            </w:pPr>
            <w:r w:rsidRPr="00C2523C">
              <w:rPr>
                <w:rFonts w:cstheme="minorHAnsi"/>
                <w:sz w:val="24"/>
                <w:szCs w:val="24"/>
              </w:rPr>
              <w:t>MKSS</w:t>
            </w:r>
          </w:p>
        </w:tc>
        <w:tc>
          <w:tcPr>
            <w:tcW w:w="1328" w:type="dxa"/>
          </w:tcPr>
          <w:p w14:paraId="74671F58" w14:textId="4FF5AE77" w:rsidR="00DC3FD6" w:rsidRPr="00C2523C" w:rsidRDefault="00DC3FD6" w:rsidP="00277373">
            <w:pPr>
              <w:rPr>
                <w:rFonts w:cstheme="minorHAnsi"/>
                <w:sz w:val="24"/>
                <w:szCs w:val="24"/>
              </w:rPr>
            </w:pPr>
            <w:r w:rsidRPr="00C2523C">
              <w:rPr>
                <w:rFonts w:cstheme="minorHAnsi"/>
                <w:sz w:val="24"/>
                <w:szCs w:val="24"/>
              </w:rPr>
              <w:t xml:space="preserve">Art. 12 ust. 2 </w:t>
            </w:r>
          </w:p>
        </w:tc>
        <w:tc>
          <w:tcPr>
            <w:tcW w:w="7229" w:type="dxa"/>
          </w:tcPr>
          <w:p w14:paraId="55634CD3" w14:textId="77777777" w:rsidR="00DC3FD6" w:rsidRPr="00C2523C" w:rsidRDefault="00DC3FD6" w:rsidP="00DC3FD6">
            <w:pPr>
              <w:rPr>
                <w:rFonts w:cstheme="minorHAnsi"/>
                <w:sz w:val="24"/>
                <w:szCs w:val="24"/>
                <w:lang w:bidi="pl-PL"/>
              </w:rPr>
            </w:pPr>
            <w:r w:rsidRPr="00C2523C">
              <w:rPr>
                <w:rFonts w:cstheme="minorHAnsi"/>
                <w:sz w:val="24"/>
                <w:szCs w:val="24"/>
                <w:lang w:bidi="pl-PL"/>
              </w:rPr>
              <w:t>W art. 12 ust. 2 projektu na podmioty publiczne został nałożony obowiązek wykorzystywania mechanizmów zapewnienia bezpieczeństwa korzystania z poczty elektronicznej. Obowiązek ten powinien dotyczyć również wewnętrznej infrastruktury teleinformatycznej podmiotu publicznego, co przyczyniłoby się do zwiększenia bezpieczeństwa zasobów wewnętrznych wykorzystywanych anych przez te podmioty.</w:t>
            </w:r>
          </w:p>
          <w:p w14:paraId="332A6C21" w14:textId="77777777" w:rsidR="00DC3FD6" w:rsidRPr="00C2523C" w:rsidRDefault="00DC3FD6" w:rsidP="002F0E46">
            <w:pPr>
              <w:rPr>
                <w:rFonts w:cstheme="minorHAnsi"/>
                <w:sz w:val="24"/>
                <w:szCs w:val="24"/>
              </w:rPr>
            </w:pPr>
          </w:p>
        </w:tc>
        <w:tc>
          <w:tcPr>
            <w:tcW w:w="3509" w:type="dxa"/>
          </w:tcPr>
          <w:p w14:paraId="370A22BE" w14:textId="24FF244B" w:rsidR="00DC3FD6" w:rsidRPr="00C2523C" w:rsidRDefault="00384BB8" w:rsidP="748EAEA8">
            <w:pPr>
              <w:rPr>
                <w:b/>
                <w:sz w:val="24"/>
                <w:szCs w:val="24"/>
              </w:rPr>
            </w:pPr>
            <w:r w:rsidRPr="00C2523C">
              <w:rPr>
                <w:b/>
                <w:sz w:val="24"/>
                <w:szCs w:val="24"/>
              </w:rPr>
              <w:t>Uwaga wyjaśniona</w:t>
            </w:r>
            <w:r w:rsidR="00DC3FD6" w:rsidRPr="00C2523C">
              <w:rPr>
                <w:b/>
                <w:sz w:val="24"/>
                <w:szCs w:val="24"/>
              </w:rPr>
              <w:t xml:space="preserve"> </w:t>
            </w:r>
          </w:p>
          <w:p w14:paraId="7D82FCE2" w14:textId="7CB0C799" w:rsidR="00DC3FD6" w:rsidRPr="00C2523C" w:rsidRDefault="00DC3FD6" w:rsidP="748EAEA8">
            <w:pPr>
              <w:rPr>
                <w:sz w:val="24"/>
                <w:szCs w:val="24"/>
                <w:highlight w:val="yellow"/>
              </w:rPr>
            </w:pPr>
            <w:r w:rsidRPr="00C2523C">
              <w:rPr>
                <w:sz w:val="24"/>
                <w:szCs w:val="24"/>
              </w:rPr>
              <w:t>Obowiązki w zakresie bezpieczeństwa systemów informatycznych są już nałożone na podmioty publiczne w rozporządzeniu Rady Ministrów w sprawie Krajowych Ram Interoperacyjności,</w:t>
            </w:r>
            <w:r w:rsidRPr="00C2523C">
              <w:rPr>
                <w:sz w:val="24"/>
                <w:szCs w:val="24"/>
              </w:rPr>
              <w:br/>
              <w:t>minimalnych wymagań dla rejestrów publicznych i wymiany informacji w postaci elektronicznej</w:t>
            </w:r>
            <w:r w:rsidRPr="00C2523C">
              <w:rPr>
                <w:sz w:val="24"/>
                <w:szCs w:val="24"/>
              </w:rPr>
              <w:br/>
              <w:t>oraz minimalnych wymagań dla systemów teleinformatycznych.</w:t>
            </w:r>
          </w:p>
        </w:tc>
      </w:tr>
      <w:tr w:rsidR="00C2523C" w:rsidRPr="00C2523C" w14:paraId="29EA7F4F" w14:textId="77777777" w:rsidTr="002F0E46">
        <w:tc>
          <w:tcPr>
            <w:tcW w:w="750" w:type="dxa"/>
          </w:tcPr>
          <w:p w14:paraId="1F0CB1E3" w14:textId="77777777" w:rsidR="00DC3FD6" w:rsidRPr="00C2523C" w:rsidRDefault="00DC3FD6"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451106BD" w14:textId="1C2FDA85" w:rsidR="00DC3FD6" w:rsidRPr="00C2523C" w:rsidRDefault="00DC3FD6" w:rsidP="00277373">
            <w:pPr>
              <w:rPr>
                <w:rFonts w:cstheme="minorHAnsi"/>
                <w:sz w:val="24"/>
                <w:szCs w:val="24"/>
              </w:rPr>
            </w:pPr>
            <w:r w:rsidRPr="00C2523C">
              <w:rPr>
                <w:rFonts w:cstheme="minorHAnsi"/>
                <w:sz w:val="24"/>
                <w:szCs w:val="24"/>
              </w:rPr>
              <w:t>MKSS</w:t>
            </w:r>
          </w:p>
        </w:tc>
        <w:tc>
          <w:tcPr>
            <w:tcW w:w="1328" w:type="dxa"/>
          </w:tcPr>
          <w:p w14:paraId="393C601F" w14:textId="20762FEB" w:rsidR="00DC3FD6" w:rsidRPr="00C2523C" w:rsidRDefault="00DC3FD6" w:rsidP="00277373">
            <w:pPr>
              <w:rPr>
                <w:rFonts w:cstheme="minorHAnsi"/>
                <w:sz w:val="24"/>
                <w:szCs w:val="24"/>
              </w:rPr>
            </w:pPr>
            <w:r w:rsidRPr="00C2523C">
              <w:rPr>
                <w:rFonts w:cstheme="minorHAnsi"/>
                <w:sz w:val="24"/>
                <w:szCs w:val="24"/>
              </w:rPr>
              <w:t xml:space="preserve">Art.12 </w:t>
            </w:r>
          </w:p>
        </w:tc>
        <w:tc>
          <w:tcPr>
            <w:tcW w:w="7229" w:type="dxa"/>
          </w:tcPr>
          <w:p w14:paraId="5FD42A54" w14:textId="77777777" w:rsidR="00DC3FD6" w:rsidRPr="00C2523C" w:rsidRDefault="00DC3FD6" w:rsidP="00DC3FD6">
            <w:pPr>
              <w:rPr>
                <w:rFonts w:cstheme="minorHAnsi"/>
                <w:sz w:val="24"/>
                <w:szCs w:val="24"/>
                <w:lang w:bidi="pl-PL"/>
              </w:rPr>
            </w:pPr>
            <w:r w:rsidRPr="00C2523C">
              <w:rPr>
                <w:rFonts w:cstheme="minorHAnsi"/>
                <w:sz w:val="24"/>
                <w:szCs w:val="24"/>
                <w:lang w:bidi="pl-PL"/>
              </w:rPr>
              <w:t xml:space="preserve">Projektowany art. 12 ust. 3, zgodnie z którym Prezes Urzędu Komunikacji Elektronicznej uzyska możliwość przeprowadzania kontroli podmiotów publicznych - w tym służb specjalnych, w zakresie realizacji obowiązku korzystania z poczty elektronicznej wykorzystującej określone mechanizmy bezpieczeństwa, wymaga dodatkowej analizy. Należy zauważyć, że w projektowanych regulacjach nie zostały określone zasady przeprowadzania takiej kontroli, w szczególności w odniesieniu do używanych zabezpieczeń o charakterze niejawnym. W projektowanym art. 12 ust. 4, w zakresie szczegółowych regulacji </w:t>
            </w:r>
            <w:r w:rsidRPr="00C2523C">
              <w:rPr>
                <w:rFonts w:cstheme="minorHAnsi"/>
                <w:sz w:val="24"/>
                <w:szCs w:val="24"/>
                <w:lang w:bidi="pl-PL"/>
              </w:rPr>
              <w:lastRenderedPageBreak/>
              <w:t xml:space="preserve">dotyczących kontroli przeprowadzanej przez Prezesa UKE, projektodawca odsyła natomiast do przepisów ustawy z dnia 16 lipca 2004 r. - </w:t>
            </w:r>
            <w:r w:rsidRPr="00C2523C">
              <w:rPr>
                <w:rFonts w:cstheme="minorHAnsi"/>
                <w:i/>
                <w:sz w:val="24"/>
                <w:szCs w:val="24"/>
                <w:lang w:bidi="pl-PL"/>
              </w:rPr>
              <w:t>Prawo telekomunikacyjne</w:t>
            </w:r>
            <w:r w:rsidRPr="00C2523C">
              <w:rPr>
                <w:rFonts w:cstheme="minorHAnsi"/>
                <w:sz w:val="24"/>
                <w:szCs w:val="24"/>
                <w:lang w:bidi="pl-PL"/>
              </w:rPr>
              <w:t xml:space="preserve"> (Dz. U. z 2021 r. poz. 576, z późn. zm.). Należy jednak wskazać, że jednostki organizacyjne służb specjalnych zostały wyłączone spod działania przepisów dotyczących kontroli wynikających z ustawy </w:t>
            </w:r>
            <w:r w:rsidRPr="00C2523C">
              <w:rPr>
                <w:rFonts w:cstheme="minorHAnsi"/>
                <w:i/>
                <w:sz w:val="24"/>
                <w:szCs w:val="24"/>
                <w:lang w:bidi="pl-PL"/>
              </w:rPr>
              <w:t>Prawo telekomunikacyjne</w:t>
            </w:r>
            <w:r w:rsidRPr="00C2523C">
              <w:rPr>
                <w:rFonts w:cstheme="minorHAnsi"/>
                <w:sz w:val="24"/>
                <w:szCs w:val="24"/>
                <w:lang w:bidi="pl-PL"/>
              </w:rPr>
              <w:t xml:space="preserve"> na podstawie art. 205 ust. 1 tej ustawy.</w:t>
            </w:r>
          </w:p>
          <w:p w14:paraId="6968C323" w14:textId="77777777" w:rsidR="00DC3FD6" w:rsidRPr="00C2523C" w:rsidRDefault="00DC3FD6" w:rsidP="00DC3FD6">
            <w:pPr>
              <w:rPr>
                <w:rFonts w:cstheme="minorHAnsi"/>
                <w:sz w:val="24"/>
                <w:szCs w:val="24"/>
                <w:lang w:bidi="pl-PL"/>
              </w:rPr>
            </w:pPr>
            <w:r w:rsidRPr="00C2523C">
              <w:rPr>
                <w:rFonts w:cstheme="minorHAnsi"/>
                <w:sz w:val="24"/>
                <w:szCs w:val="24"/>
                <w:lang w:bidi="pl-PL"/>
              </w:rPr>
              <w:t>Wobec powyższego zachodzi uzasadniona wątpliwość, czy przepisy projektowanej ustawy będą miały zastosowanie do służb specjalnych. Aby rozwiać te wątpliwości proponuję dodanie w projektowanej ustawie przepisu wyłączającego możliwość przeprowadzania przez Prezesa Urzędu Komunikacji Elektronicznej kontroli wykorzystania przez służby specjalne mechanizmów bezpieczeństwa poczty elektronicznej.</w:t>
            </w:r>
          </w:p>
          <w:p w14:paraId="5C404879" w14:textId="77777777" w:rsidR="00DC3FD6" w:rsidRPr="00C2523C" w:rsidRDefault="00DC3FD6" w:rsidP="00DC3FD6">
            <w:pPr>
              <w:rPr>
                <w:rFonts w:cstheme="minorHAnsi"/>
                <w:sz w:val="24"/>
                <w:szCs w:val="24"/>
                <w:lang w:bidi="pl-PL"/>
              </w:rPr>
            </w:pPr>
          </w:p>
        </w:tc>
        <w:tc>
          <w:tcPr>
            <w:tcW w:w="3509" w:type="dxa"/>
          </w:tcPr>
          <w:p w14:paraId="6C32ADFA" w14:textId="51F01A99" w:rsidR="005728B4" w:rsidRPr="00C2523C" w:rsidRDefault="00BF72A3" w:rsidP="748EAEA8">
            <w:pPr>
              <w:rPr>
                <w:b/>
                <w:sz w:val="24"/>
                <w:szCs w:val="24"/>
              </w:rPr>
            </w:pPr>
            <w:r w:rsidRPr="00C2523C">
              <w:rPr>
                <w:b/>
                <w:sz w:val="24"/>
                <w:szCs w:val="24"/>
              </w:rPr>
              <w:lastRenderedPageBreak/>
              <w:t>Uwaga w</w:t>
            </w:r>
            <w:r w:rsidR="005728B4" w:rsidRPr="00C2523C">
              <w:rPr>
                <w:b/>
                <w:sz w:val="24"/>
                <w:szCs w:val="24"/>
              </w:rPr>
              <w:t>yjaśni</w:t>
            </w:r>
            <w:r w:rsidRPr="00C2523C">
              <w:rPr>
                <w:b/>
                <w:sz w:val="24"/>
                <w:szCs w:val="24"/>
              </w:rPr>
              <w:t>ona</w:t>
            </w:r>
            <w:r w:rsidR="005728B4" w:rsidRPr="00C2523C">
              <w:rPr>
                <w:b/>
                <w:sz w:val="24"/>
                <w:szCs w:val="24"/>
              </w:rPr>
              <w:t xml:space="preserve"> </w:t>
            </w:r>
          </w:p>
          <w:p w14:paraId="2929212D" w14:textId="3BF8F323" w:rsidR="00DC3FD6" w:rsidRPr="00C2523C" w:rsidRDefault="005728B4" w:rsidP="748EAEA8">
            <w:pPr>
              <w:rPr>
                <w:sz w:val="24"/>
                <w:szCs w:val="24"/>
              </w:rPr>
            </w:pPr>
            <w:r w:rsidRPr="00C2523C">
              <w:rPr>
                <w:sz w:val="24"/>
                <w:szCs w:val="24"/>
              </w:rPr>
              <w:t>W zakresie kontroli z niniejszej ustawy będzie obowiązywało wskazane wyłączenie z art. 205 ust. 1 ustawy</w:t>
            </w:r>
            <w:r w:rsidR="00BB350E">
              <w:rPr>
                <w:sz w:val="24"/>
                <w:szCs w:val="24"/>
              </w:rPr>
              <w:t xml:space="preserve"> -</w:t>
            </w:r>
            <w:r w:rsidRPr="00C2523C">
              <w:rPr>
                <w:sz w:val="24"/>
                <w:szCs w:val="24"/>
              </w:rPr>
              <w:t xml:space="preserve"> Prawo telekomunikacyjne. W związku z powyższym nie jest konieczne ponowne uregulowanie tej kwestii w samej ustawie.</w:t>
            </w:r>
          </w:p>
        </w:tc>
      </w:tr>
      <w:tr w:rsidR="00C2523C" w:rsidRPr="00C2523C" w14:paraId="25242E40" w14:textId="77777777" w:rsidTr="002F0E46">
        <w:tc>
          <w:tcPr>
            <w:tcW w:w="750" w:type="dxa"/>
          </w:tcPr>
          <w:p w14:paraId="01231832" w14:textId="6F49483A" w:rsidR="00EF641D" w:rsidRPr="00C2523C" w:rsidRDefault="00EF641D"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3A63DA35" w14:textId="29394AC4" w:rsidR="00EF641D" w:rsidRPr="00C2523C" w:rsidRDefault="00EF641D" w:rsidP="00277373">
            <w:pPr>
              <w:rPr>
                <w:rFonts w:cstheme="minorHAnsi"/>
                <w:sz w:val="24"/>
                <w:szCs w:val="24"/>
              </w:rPr>
            </w:pPr>
            <w:r w:rsidRPr="00C2523C">
              <w:rPr>
                <w:rFonts w:cstheme="minorHAnsi"/>
                <w:sz w:val="24"/>
                <w:szCs w:val="24"/>
              </w:rPr>
              <w:t>MON</w:t>
            </w:r>
          </w:p>
        </w:tc>
        <w:tc>
          <w:tcPr>
            <w:tcW w:w="1328" w:type="dxa"/>
          </w:tcPr>
          <w:p w14:paraId="0A490173" w14:textId="2F70CE00" w:rsidR="00EF641D" w:rsidRPr="00C2523C" w:rsidRDefault="00EF641D" w:rsidP="00277373">
            <w:pPr>
              <w:rPr>
                <w:rFonts w:cstheme="minorHAnsi"/>
                <w:sz w:val="24"/>
                <w:szCs w:val="24"/>
              </w:rPr>
            </w:pPr>
            <w:r w:rsidRPr="00C2523C">
              <w:rPr>
                <w:rFonts w:cstheme="minorHAnsi"/>
                <w:sz w:val="24"/>
                <w:szCs w:val="24"/>
              </w:rPr>
              <w:t>Art. 12</w:t>
            </w:r>
          </w:p>
        </w:tc>
        <w:tc>
          <w:tcPr>
            <w:tcW w:w="7229" w:type="dxa"/>
          </w:tcPr>
          <w:p w14:paraId="7142EF32" w14:textId="03394B09" w:rsidR="00EF641D" w:rsidRPr="00C2523C" w:rsidRDefault="00EF641D" w:rsidP="002F0E46">
            <w:pPr>
              <w:numPr>
                <w:ilvl w:val="0"/>
                <w:numId w:val="10"/>
              </w:numPr>
              <w:rPr>
                <w:rFonts w:cstheme="minorHAnsi"/>
                <w:sz w:val="24"/>
                <w:szCs w:val="24"/>
              </w:rPr>
            </w:pPr>
            <w:r w:rsidRPr="00C2523C">
              <w:rPr>
                <w:rFonts w:cstheme="minorHAnsi"/>
                <w:sz w:val="24"/>
                <w:szCs w:val="24"/>
              </w:rPr>
              <w:t xml:space="preserve">W </w:t>
            </w:r>
            <w:r w:rsidRPr="00C2523C">
              <w:rPr>
                <w:rFonts w:cstheme="minorHAnsi"/>
                <w:b/>
                <w:sz w:val="24"/>
                <w:szCs w:val="24"/>
              </w:rPr>
              <w:t>art. 12</w:t>
            </w:r>
            <w:r w:rsidRPr="00C2523C">
              <w:rPr>
                <w:rFonts w:cstheme="minorHAnsi"/>
                <w:sz w:val="24"/>
                <w:szCs w:val="24"/>
              </w:rPr>
              <w:t xml:space="preserve"> proponuje się dodać ust. 5 i 6 w brzmieniu: </w:t>
            </w:r>
          </w:p>
          <w:p w14:paraId="2FDF4647" w14:textId="77777777" w:rsidR="00EF641D" w:rsidRPr="00C2523C" w:rsidRDefault="00EF641D" w:rsidP="00EF641D">
            <w:pPr>
              <w:rPr>
                <w:rFonts w:cstheme="minorHAnsi"/>
                <w:i/>
                <w:sz w:val="24"/>
                <w:szCs w:val="24"/>
              </w:rPr>
            </w:pPr>
            <w:r w:rsidRPr="00C2523C">
              <w:rPr>
                <w:rFonts w:cstheme="minorHAnsi"/>
                <w:i/>
                <w:sz w:val="24"/>
                <w:szCs w:val="24"/>
              </w:rPr>
              <w:t>„5. Dostawca poczty elektronicznej, o którym mowa w ust. 1, ma obowiązek przechowywania, przez okres nie krótszy niż 90 dni, rejestrów logowań do obsługiwanych przez siebie skrzynek poczty elektronicznej, zawierających co najmniej datę, godzinę uszczegółowioną do 1 sekundy, adres IP oraz port przypisany użytkownikowi w trakcie połączenia przez przedsiębiorcę telekomunikacyjnego.</w:t>
            </w:r>
          </w:p>
          <w:p w14:paraId="366ADA4B" w14:textId="48003784" w:rsidR="00EF641D" w:rsidRPr="00C2523C" w:rsidRDefault="00EF641D" w:rsidP="00EF641D">
            <w:pPr>
              <w:rPr>
                <w:rFonts w:cstheme="minorHAnsi"/>
                <w:i/>
                <w:sz w:val="24"/>
                <w:szCs w:val="24"/>
              </w:rPr>
            </w:pPr>
            <w:r w:rsidRPr="00C2523C">
              <w:rPr>
                <w:rFonts w:cstheme="minorHAnsi"/>
                <w:i/>
                <w:sz w:val="24"/>
                <w:szCs w:val="24"/>
              </w:rPr>
              <w:t>6. Dostawca poczty elektronicznej nieodpłatnie udostępnia dane, o których mowa w ust. 5, organom państwa uprawnionym na podstawie odrębnych przepisów, na potrzeby prowadzonych przez nie postępowań.”.</w:t>
            </w:r>
          </w:p>
          <w:p w14:paraId="3C453980" w14:textId="3A8CE114" w:rsidR="00EF641D" w:rsidRPr="00C2523C" w:rsidRDefault="00EF641D" w:rsidP="00EF641D">
            <w:pPr>
              <w:rPr>
                <w:rFonts w:cstheme="minorHAnsi"/>
                <w:sz w:val="24"/>
                <w:szCs w:val="24"/>
              </w:rPr>
            </w:pPr>
            <w:r w:rsidRPr="00C2523C">
              <w:rPr>
                <w:rFonts w:cstheme="minorHAnsi"/>
                <w:sz w:val="24"/>
                <w:szCs w:val="24"/>
              </w:rPr>
              <w:t>4.</w:t>
            </w:r>
            <w:r w:rsidRPr="00C2523C">
              <w:rPr>
                <w:rFonts w:cstheme="minorHAnsi"/>
                <w:sz w:val="24"/>
                <w:szCs w:val="24"/>
              </w:rPr>
              <w:tab/>
              <w:t xml:space="preserve">Jednocześnie, w konsekwencji przyjęcia proponowanych zmian, zasadnym wydaje się rozważenie wprowadzenia regulacji mających na celu wzmocnienie skuteczności pozyskiwania danych, o których mowa w art. 12 ust. 5, przez organ państwowy, np. przez wprowadzenie </w:t>
            </w:r>
            <w:r w:rsidRPr="00C2523C">
              <w:rPr>
                <w:rFonts w:cstheme="minorHAnsi"/>
                <w:sz w:val="24"/>
                <w:szCs w:val="24"/>
              </w:rPr>
              <w:lastRenderedPageBreak/>
              <w:t>kontroli Prezesa UKE na zasadach analogicznych jak w art. 12 ust. 3 projektu.</w:t>
            </w:r>
          </w:p>
          <w:p w14:paraId="54DB2E5E" w14:textId="77777777" w:rsidR="00EF641D" w:rsidRPr="00C2523C" w:rsidRDefault="00EF641D" w:rsidP="00EF641D">
            <w:pPr>
              <w:rPr>
                <w:rFonts w:cstheme="minorHAnsi"/>
                <w:sz w:val="24"/>
                <w:szCs w:val="24"/>
              </w:rPr>
            </w:pPr>
          </w:p>
          <w:p w14:paraId="03DAF065" w14:textId="77777777" w:rsidR="00515523" w:rsidRPr="00C2523C" w:rsidRDefault="00EF641D" w:rsidP="002F0E46">
            <w:pPr>
              <w:autoSpaceDE w:val="0"/>
              <w:autoSpaceDN w:val="0"/>
              <w:adjustRightInd w:val="0"/>
              <w:jc w:val="both"/>
              <w:rPr>
                <w:rFonts w:eastAsia="Calibri" w:cstheme="minorHAnsi"/>
                <w:sz w:val="24"/>
                <w:szCs w:val="24"/>
              </w:rPr>
            </w:pPr>
            <w:r w:rsidRPr="00C2523C">
              <w:rPr>
                <w:rFonts w:eastAsia="Calibri" w:cstheme="minorHAnsi"/>
                <w:sz w:val="24"/>
                <w:szCs w:val="24"/>
              </w:rPr>
              <w:t xml:space="preserve">W związku z dynamicznym rozwojem nowych technologii oraz coraz bardziej kreatywnymi sposobami wykorzystywania ich przez osoby popełniające czyny zabronione, organy ścigania muszą niejednokrotnie sięgać po dane związane z użytkowaniem poczty elektronicznej. </w:t>
            </w:r>
          </w:p>
          <w:p w14:paraId="23B6E4E5" w14:textId="64BECFE1" w:rsidR="00EF641D" w:rsidRPr="00C2523C" w:rsidRDefault="00EF641D" w:rsidP="002F0E46">
            <w:pPr>
              <w:autoSpaceDE w:val="0"/>
              <w:autoSpaceDN w:val="0"/>
              <w:adjustRightInd w:val="0"/>
              <w:jc w:val="both"/>
              <w:rPr>
                <w:rFonts w:cstheme="minorHAnsi"/>
                <w:sz w:val="24"/>
                <w:szCs w:val="24"/>
              </w:rPr>
            </w:pPr>
            <w:r w:rsidRPr="00C2523C">
              <w:rPr>
                <w:rFonts w:eastAsia="Calibri" w:cstheme="minorHAnsi"/>
                <w:sz w:val="24"/>
                <w:szCs w:val="24"/>
              </w:rPr>
              <w:t>Z uwagi na brak obecnie przepisów nakładających na dostawców poczty elektronicznej obowiązek gromadzenia danych na temat adresów IP wraz z portami przypisanymi przez właściwego przedsiębiorcę telekomunikacyjnego w czasie logowań, znacznie utrudnione jest ściganie sprawców przestępstw wykorzystujących pocztę elektroniczną do popełniania czynów zabronionych. Wynika to z faktu wykorzystania przez większość przedsiębiorców telekomunikacyjnych technologii CGNAT i NAT w przypadku przydzielania abonentom adresów IPv4. W praktyce oznacza to przypisanie jednego adresu publicznego bardzo dużej liczbie abonentów w tym samym czasie, co bardzo utrudnia, a często uniemożliwia ustalenie urządzenia końcowego, które korzystało z danego adresu IP. Z uwagi na brak możliwości nakazania przedsiębiorcom telekomunikacyjnym wykorzystywania jedynie adresów IPv6, które rozwiązują ten problem – proponowane zmiany są zasadne. Wprowadzenie wyżej wymienionych przepisów nie spowoduje powstania po stronie dostawców poczty elektronicznej znacznych kosztów, jest również w pełni wykonalne z technicznego punktu widzenia, a przechowywanie wymienionych w proponowanym ust. 5 danych jest niezbędne do sprawnego ścigania sprawców przestępstw.</w:t>
            </w:r>
          </w:p>
        </w:tc>
        <w:tc>
          <w:tcPr>
            <w:tcW w:w="3509" w:type="dxa"/>
          </w:tcPr>
          <w:p w14:paraId="7D538E8F" w14:textId="77F0301C" w:rsidR="00EF641D" w:rsidRPr="00C2523C" w:rsidRDefault="748EAEA8" w:rsidP="00277373">
            <w:r w:rsidRPr="00C2523C">
              <w:rPr>
                <w:rFonts w:ascii="Calibri" w:eastAsia="Calibri" w:hAnsi="Calibri" w:cs="Calibri"/>
                <w:b/>
                <w:bCs/>
                <w:sz w:val="24"/>
                <w:szCs w:val="24"/>
              </w:rPr>
              <w:lastRenderedPageBreak/>
              <w:t xml:space="preserve">Uwaga </w:t>
            </w:r>
            <w:r w:rsidR="002D0851" w:rsidRPr="00C2523C">
              <w:rPr>
                <w:rFonts w:ascii="Calibri" w:eastAsia="Calibri" w:hAnsi="Calibri" w:cs="Calibri"/>
                <w:b/>
                <w:bCs/>
                <w:sz w:val="24"/>
                <w:szCs w:val="24"/>
              </w:rPr>
              <w:t>nieuwzględniona</w:t>
            </w:r>
            <w:r w:rsidRPr="00C2523C">
              <w:rPr>
                <w:rFonts w:ascii="Calibri" w:eastAsia="Calibri" w:hAnsi="Calibri" w:cs="Calibri"/>
                <w:sz w:val="24"/>
                <w:szCs w:val="24"/>
              </w:rPr>
              <w:t xml:space="preserve"> </w:t>
            </w:r>
          </w:p>
          <w:p w14:paraId="29D66C92" w14:textId="30230CD6"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t>Należy wskazać, że celem przepisu jest uregulowanie obowiązków z zakresu bezpieczeństwa poczty elektronicznej, stosowania mechanizmów uwierzytelnienia poczty elektronicznej. Nie jest celem ustawy wprowadzanie obowiązków retencyjnych, które wykraczają poza kwestie walki z nadużyciami w komunikacji elektronicznej. Mają szersze, systemowe skutki dla różnego rodzaju postępowań prowadzonych przez służby.</w:t>
            </w:r>
          </w:p>
          <w:p w14:paraId="6CD8A579" w14:textId="650FBF84" w:rsidR="00EF641D" w:rsidRPr="00C2523C" w:rsidRDefault="748EAEA8" w:rsidP="002F0E46">
            <w:pPr>
              <w:jc w:val="both"/>
              <w:rPr>
                <w:rFonts w:ascii="Calibri" w:eastAsia="Calibri" w:hAnsi="Calibri" w:cs="Calibri"/>
                <w:sz w:val="24"/>
                <w:szCs w:val="24"/>
              </w:rPr>
            </w:pPr>
            <w:r w:rsidRPr="00C2523C">
              <w:rPr>
                <w:rFonts w:ascii="Calibri" w:eastAsia="Calibri" w:hAnsi="Calibri" w:cs="Calibri"/>
                <w:sz w:val="24"/>
                <w:szCs w:val="24"/>
              </w:rPr>
              <w:lastRenderedPageBreak/>
              <w:t xml:space="preserve"> </w:t>
            </w:r>
          </w:p>
          <w:p w14:paraId="30E52E31" w14:textId="5472A18D"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t>Dostawcy usług poczty elektronicznej kwalifikują się do kategorii dostawców usług komunikacji interpersonalnej niewykorzystujących numerów („NICS”) (które zostaną uregulowane</w:t>
            </w:r>
            <w:r w:rsidR="006433AE" w:rsidRPr="00C2523C">
              <w:rPr>
                <w:rFonts w:ascii="Calibri" w:eastAsia="Calibri" w:hAnsi="Calibri" w:cs="Calibri"/>
                <w:sz w:val="24"/>
                <w:szCs w:val="24"/>
              </w:rPr>
              <w:t xml:space="preserve"> w PKE) </w:t>
            </w:r>
            <w:r w:rsidRPr="00C2523C">
              <w:rPr>
                <w:rFonts w:ascii="Calibri" w:eastAsia="Calibri" w:hAnsi="Calibri" w:cs="Calibri"/>
                <w:sz w:val="24"/>
                <w:szCs w:val="24"/>
              </w:rPr>
              <w:t xml:space="preserve">a także usług świadczonych drogą elektroniczną. Należy wskazać, że ta kategoria podmiotów nie jest również w PKE objęta przepisami retencyjnymi. Dyrektywa ustanawiająca Europejski Kodeks Łączności Elektronicznej wyłącza tę kategorię podmiotów (dostawców NICS) z obowiązków związanych z ogólnym zezwoleniem, tj. nie podlegają wpisowi do rejestru przedsiębiorców telekomunikacyjnych. Brak jest zatem oficjalnych danych tych podmiotów. Egzekwowanie stosowania przepisów mogłoby być znacząco utrudnione, gdyż często przedsiębiorcy Ci mają siedziby za granicą. W efekcie zatem wprowadzone obowiązki obciążyły by de facto polskich </w:t>
            </w:r>
            <w:r w:rsidRPr="00C2523C">
              <w:rPr>
                <w:rFonts w:ascii="Calibri" w:eastAsia="Calibri" w:hAnsi="Calibri" w:cs="Calibri"/>
                <w:sz w:val="24"/>
                <w:szCs w:val="24"/>
              </w:rPr>
              <w:lastRenderedPageBreak/>
              <w:t xml:space="preserve">dostawców takich usług, stawiając ich mniej korzystnej sytuacji niż konkurenci z zagranicy. Naraziłoby to również te podmioty na dodatkowe koszty retencjonowania danych, które nie są im potrzebne. Większy zakres przechowywanych danych wymagałby posiadania pojemniejszych, bezpiecznych serwerów, zakupu bezpiecznego oprogramowania itp. </w:t>
            </w:r>
          </w:p>
          <w:p w14:paraId="4AF9D870" w14:textId="54AD8794" w:rsidR="00EF641D" w:rsidRPr="00C2523C" w:rsidRDefault="748EAEA8" w:rsidP="002F0E46">
            <w:pPr>
              <w:jc w:val="both"/>
              <w:rPr>
                <w:rFonts w:ascii="Calibri" w:eastAsia="Calibri" w:hAnsi="Calibri" w:cs="Calibri"/>
                <w:sz w:val="24"/>
                <w:szCs w:val="24"/>
              </w:rPr>
            </w:pPr>
            <w:r w:rsidRPr="00C2523C">
              <w:rPr>
                <w:rFonts w:ascii="Calibri" w:eastAsia="Calibri" w:hAnsi="Calibri" w:cs="Calibri"/>
                <w:sz w:val="24"/>
                <w:szCs w:val="24"/>
              </w:rPr>
              <w:t xml:space="preserve"> </w:t>
            </w:r>
          </w:p>
          <w:p w14:paraId="40568BE1" w14:textId="011E3239"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t>Podkreślenia wymaga również fakt, że generalny obowiązek retencji danych telekomunikacyjnych został zakwestionowany przez TSUE. Trybunał w licznych wyrokach odnosił się w restrykcyjny sposób do kwestii gromadzenia danych pochodzących z komunikacji elektronicznej i ich udostępniania uprawnionym podmiotom.</w:t>
            </w:r>
          </w:p>
          <w:p w14:paraId="23BF0BA9" w14:textId="37030D64"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t xml:space="preserve">Wprowadzanie nowych obowiązków retencyjnych, w odniesieniu do kolejnych grup podmiotów może spotkać się z </w:t>
            </w:r>
            <w:r w:rsidRPr="00C2523C">
              <w:rPr>
                <w:rFonts w:ascii="Calibri" w:eastAsia="Calibri" w:hAnsi="Calibri" w:cs="Calibri"/>
                <w:sz w:val="24"/>
                <w:szCs w:val="24"/>
              </w:rPr>
              <w:lastRenderedPageBreak/>
              <w:t>zarzutem niezgodności z orzecznictwem TSUE.</w:t>
            </w:r>
          </w:p>
          <w:p w14:paraId="0C322287" w14:textId="33EAED76"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t xml:space="preserve">W ramach UE ciągle trwają prace grupy roboczej ds. współpracy w sprawach karnych COPEN dotyczących wspólnego podejścia do retencji danych w świetle dyrektywy 2002/58/UE o prywatności oraz orzecznictwa TSUE. Grupa rozważa m.in. objęcie obowiązkiem retencyjnym dostawców NICS, poddania retencji adresów IP. Wprowadzanie nowych obowiązków retencyjnych w oderwaniu od prac tej grupy, zapadłych wyroków TSUE jest przedwczesne. </w:t>
            </w:r>
          </w:p>
          <w:p w14:paraId="0A35336B" w14:textId="43CB1F81" w:rsidR="00EF641D" w:rsidRPr="00C2523C" w:rsidRDefault="748EAEA8" w:rsidP="002F0E46">
            <w:pPr>
              <w:jc w:val="both"/>
              <w:rPr>
                <w:rFonts w:ascii="Calibri" w:eastAsia="Calibri" w:hAnsi="Calibri" w:cs="Calibri"/>
                <w:sz w:val="24"/>
                <w:szCs w:val="24"/>
              </w:rPr>
            </w:pPr>
            <w:r w:rsidRPr="00C2523C">
              <w:rPr>
                <w:rFonts w:ascii="Calibri" w:eastAsia="Calibri" w:hAnsi="Calibri" w:cs="Calibri"/>
                <w:sz w:val="24"/>
                <w:szCs w:val="24"/>
              </w:rPr>
              <w:t xml:space="preserve"> </w:t>
            </w:r>
          </w:p>
          <w:p w14:paraId="3A77E8A1" w14:textId="0A2C623D" w:rsidR="00EF641D" w:rsidRPr="00C2523C" w:rsidRDefault="748EAEA8" w:rsidP="748EAEA8">
            <w:pPr>
              <w:rPr>
                <w:rFonts w:ascii="Calibri" w:eastAsia="Calibri" w:hAnsi="Calibri" w:cs="Calibri"/>
                <w:sz w:val="24"/>
                <w:szCs w:val="24"/>
              </w:rPr>
            </w:pPr>
            <w:r w:rsidRPr="00C2523C">
              <w:rPr>
                <w:rFonts w:ascii="Calibri" w:eastAsia="Calibri" w:hAnsi="Calibri" w:cs="Calibri"/>
                <w:sz w:val="24"/>
                <w:szCs w:val="24"/>
              </w:rPr>
              <w:t>Ponadto, ustawa o świadczeniu usług drogą elektroniczną oraz ustawy kompetencyjne służb zawierają już pewne regulacje dotyczące udostępniania służbom danych zbieranych przez dostawców usług (np. art. 18 uśude).</w:t>
            </w:r>
          </w:p>
        </w:tc>
      </w:tr>
      <w:tr w:rsidR="00C2523C" w:rsidRPr="00C2523C" w14:paraId="49B91972" w14:textId="77777777" w:rsidTr="002F0E46">
        <w:tc>
          <w:tcPr>
            <w:tcW w:w="750" w:type="dxa"/>
          </w:tcPr>
          <w:p w14:paraId="6F28282F" w14:textId="77777777"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729A9599" w14:textId="6AD48E53"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2F6A0F89" w14:textId="537C910F" w:rsidR="0041244E" w:rsidRPr="00C2523C" w:rsidRDefault="0041244E" w:rsidP="00277373">
            <w:pPr>
              <w:rPr>
                <w:rFonts w:cstheme="minorHAnsi"/>
                <w:sz w:val="24"/>
                <w:szCs w:val="24"/>
              </w:rPr>
            </w:pPr>
            <w:r w:rsidRPr="00C2523C">
              <w:rPr>
                <w:rFonts w:cstheme="minorHAnsi"/>
                <w:sz w:val="24"/>
                <w:szCs w:val="24"/>
              </w:rPr>
              <w:t>Art. 13</w:t>
            </w:r>
          </w:p>
        </w:tc>
        <w:tc>
          <w:tcPr>
            <w:tcW w:w="7229" w:type="dxa"/>
          </w:tcPr>
          <w:p w14:paraId="12E2C57A" w14:textId="0E505D74" w:rsidR="0041244E" w:rsidRPr="00C2523C" w:rsidRDefault="0041244E" w:rsidP="002F0E46">
            <w:pPr>
              <w:autoSpaceDE w:val="0"/>
              <w:autoSpaceDN w:val="0"/>
              <w:adjustRightInd w:val="0"/>
              <w:rPr>
                <w:rFonts w:cstheme="minorHAnsi"/>
                <w:sz w:val="24"/>
                <w:szCs w:val="24"/>
              </w:rPr>
            </w:pPr>
            <w:r w:rsidRPr="00C2523C">
              <w:rPr>
                <w:rFonts w:cstheme="minorHAnsi"/>
                <w:sz w:val="24"/>
                <w:szCs w:val="24"/>
              </w:rPr>
              <w:t>w przypadku obowiązku rejestracji danych o usługach</w:t>
            </w:r>
            <w:r w:rsidR="00044E5E" w:rsidRPr="00C2523C">
              <w:rPr>
                <w:rFonts w:cstheme="minorHAnsi"/>
                <w:sz w:val="24"/>
                <w:szCs w:val="24"/>
              </w:rPr>
              <w:t xml:space="preserve"> </w:t>
            </w:r>
            <w:r w:rsidRPr="00C2523C">
              <w:rPr>
                <w:rFonts w:cstheme="minorHAnsi"/>
                <w:sz w:val="24"/>
                <w:szCs w:val="24"/>
              </w:rPr>
              <w:t>telekomunikacyjnych,</w:t>
            </w:r>
            <w:r w:rsidR="004B5968" w:rsidRPr="00C2523C">
              <w:rPr>
                <w:rFonts w:cstheme="minorHAnsi"/>
                <w:sz w:val="24"/>
                <w:szCs w:val="24"/>
              </w:rPr>
              <w:t xml:space="preserve"> </w:t>
            </w:r>
            <w:r w:rsidRPr="00C2523C">
              <w:rPr>
                <w:rFonts w:cstheme="minorHAnsi"/>
                <w:sz w:val="24"/>
                <w:szCs w:val="24"/>
              </w:rPr>
              <w:t>o którym mowa w art. 13 ust. 1, projektowaną regulację należy uzupełnić o wskazanie danych</w:t>
            </w:r>
            <w:r w:rsidR="004B5968" w:rsidRPr="00C2523C">
              <w:rPr>
                <w:rFonts w:cstheme="minorHAnsi"/>
                <w:sz w:val="24"/>
                <w:szCs w:val="24"/>
              </w:rPr>
              <w:t xml:space="preserve"> </w:t>
            </w:r>
            <w:r w:rsidRPr="00C2523C">
              <w:rPr>
                <w:rFonts w:cstheme="minorHAnsi"/>
                <w:sz w:val="24"/>
                <w:szCs w:val="24"/>
              </w:rPr>
              <w:t xml:space="preserve">podlegających </w:t>
            </w:r>
            <w:r w:rsidRPr="00C2523C">
              <w:rPr>
                <w:rFonts w:cstheme="minorHAnsi"/>
                <w:sz w:val="24"/>
                <w:szCs w:val="24"/>
              </w:rPr>
              <w:lastRenderedPageBreak/>
              <w:t>rejestracji, a także miejsca i sposobu prowadzenia tej „rejestracji” (czy to</w:t>
            </w:r>
            <w:r w:rsidR="004B5968" w:rsidRPr="00C2523C">
              <w:rPr>
                <w:rFonts w:cstheme="minorHAnsi"/>
                <w:sz w:val="24"/>
                <w:szCs w:val="24"/>
              </w:rPr>
              <w:t xml:space="preserve"> </w:t>
            </w:r>
            <w:r w:rsidRPr="00C2523C">
              <w:rPr>
                <w:rFonts w:cstheme="minorHAnsi"/>
                <w:sz w:val="24"/>
                <w:szCs w:val="24"/>
              </w:rPr>
              <w:t>będzie rejestr danych o usługach prowadzony w systemie</w:t>
            </w:r>
            <w:r w:rsidR="00044E5E" w:rsidRPr="00C2523C">
              <w:rPr>
                <w:rFonts w:cstheme="minorHAnsi"/>
                <w:sz w:val="24"/>
                <w:szCs w:val="24"/>
              </w:rPr>
              <w:t xml:space="preserve"> </w:t>
            </w:r>
            <w:r w:rsidRPr="00C2523C">
              <w:rPr>
                <w:rFonts w:cstheme="minorHAnsi"/>
                <w:sz w:val="24"/>
                <w:szCs w:val="24"/>
              </w:rPr>
              <w:t>teleinformatycznym?). Ponadto</w:t>
            </w:r>
            <w:r w:rsidR="00044E5E" w:rsidRPr="00C2523C">
              <w:rPr>
                <w:rFonts w:cstheme="minorHAnsi"/>
                <w:sz w:val="24"/>
                <w:szCs w:val="24"/>
              </w:rPr>
              <w:t xml:space="preserve">, </w:t>
            </w:r>
            <w:r w:rsidRPr="00C2523C">
              <w:rPr>
                <w:rFonts w:cstheme="minorHAnsi"/>
                <w:sz w:val="24"/>
                <w:szCs w:val="24"/>
              </w:rPr>
              <w:t>korekty wymaga przepis ust. 2 w zakresie okresu przechowywania tych danych – wskazanie</w:t>
            </w:r>
            <w:r w:rsidR="004B5968" w:rsidRPr="00C2523C">
              <w:rPr>
                <w:rFonts w:cstheme="minorHAnsi"/>
                <w:sz w:val="24"/>
                <w:szCs w:val="24"/>
              </w:rPr>
              <w:t xml:space="preserve"> </w:t>
            </w:r>
            <w:r w:rsidRPr="00C2523C">
              <w:rPr>
                <w:rFonts w:cstheme="minorHAnsi"/>
                <w:sz w:val="24"/>
                <w:szCs w:val="24"/>
              </w:rPr>
              <w:t>okresu co najmniej 12 miesięcy oznacza nieokreślony okres przechowywania – termin ten</w:t>
            </w:r>
            <w:r w:rsidR="004B5968" w:rsidRPr="00C2523C">
              <w:rPr>
                <w:rFonts w:cstheme="minorHAnsi"/>
                <w:sz w:val="24"/>
                <w:szCs w:val="24"/>
              </w:rPr>
              <w:t xml:space="preserve"> </w:t>
            </w:r>
            <w:r w:rsidRPr="00C2523C">
              <w:rPr>
                <w:rFonts w:cstheme="minorHAnsi"/>
                <w:sz w:val="24"/>
                <w:szCs w:val="24"/>
              </w:rPr>
              <w:t>powinien więc zostać doprecyzowany;</w:t>
            </w:r>
          </w:p>
        </w:tc>
        <w:tc>
          <w:tcPr>
            <w:tcW w:w="3509" w:type="dxa"/>
          </w:tcPr>
          <w:p w14:paraId="372A2C27" w14:textId="5B95E7E8" w:rsidR="0041244E" w:rsidRPr="00C2523C" w:rsidRDefault="7E31C6CE">
            <w:pPr>
              <w:rPr>
                <w:rFonts w:ascii="Calibri" w:eastAsia="Calibri" w:hAnsi="Calibri" w:cs="Calibri"/>
                <w:b/>
                <w:bCs/>
                <w:sz w:val="24"/>
                <w:szCs w:val="24"/>
              </w:rPr>
            </w:pPr>
            <w:r w:rsidRPr="00C2523C">
              <w:rPr>
                <w:rFonts w:ascii="Calibri" w:eastAsia="Calibri" w:hAnsi="Calibri" w:cs="Calibri"/>
                <w:b/>
                <w:bCs/>
                <w:sz w:val="24"/>
                <w:szCs w:val="24"/>
              </w:rPr>
              <w:lastRenderedPageBreak/>
              <w:t xml:space="preserve">Uwaga częściowo </w:t>
            </w:r>
            <w:r w:rsidR="00277339" w:rsidRPr="00C2523C">
              <w:rPr>
                <w:rFonts w:ascii="Calibri" w:eastAsia="Calibri" w:hAnsi="Calibri" w:cs="Calibri"/>
                <w:b/>
                <w:bCs/>
                <w:sz w:val="24"/>
                <w:szCs w:val="24"/>
              </w:rPr>
              <w:t>uwzględniona</w:t>
            </w:r>
          </w:p>
          <w:p w14:paraId="40C7C531" w14:textId="122ED453" w:rsidR="0041244E" w:rsidRPr="00C2523C" w:rsidRDefault="7E31C6CE" w:rsidP="002F0E46">
            <w:pPr>
              <w:spacing w:line="257" w:lineRule="auto"/>
              <w:rPr>
                <w:rFonts w:ascii="Calibri" w:eastAsia="Calibri" w:hAnsi="Calibri" w:cs="Calibri"/>
                <w:sz w:val="24"/>
                <w:szCs w:val="24"/>
              </w:rPr>
            </w:pPr>
            <w:r w:rsidRPr="00C2523C">
              <w:rPr>
                <w:rFonts w:ascii="Calibri" w:eastAsia="Calibri" w:hAnsi="Calibri" w:cs="Calibri"/>
                <w:b/>
                <w:bCs/>
                <w:sz w:val="24"/>
                <w:szCs w:val="24"/>
              </w:rPr>
              <w:t>w zakresie okresu przechowywania danych</w:t>
            </w:r>
          </w:p>
          <w:p w14:paraId="53036006" w14:textId="15EFAB0C" w:rsidR="0041244E" w:rsidRPr="00C2523C" w:rsidRDefault="7E31C6CE" w:rsidP="002F0E46">
            <w:pPr>
              <w:spacing w:line="257" w:lineRule="auto"/>
              <w:rPr>
                <w:rFonts w:ascii="Calibri" w:eastAsia="Calibri" w:hAnsi="Calibri" w:cs="Calibri"/>
                <w:sz w:val="24"/>
                <w:szCs w:val="24"/>
              </w:rPr>
            </w:pPr>
            <w:r w:rsidRPr="00C2523C">
              <w:rPr>
                <w:rFonts w:ascii="Calibri" w:eastAsia="Calibri" w:hAnsi="Calibri" w:cs="Calibri"/>
                <w:sz w:val="24"/>
                <w:szCs w:val="24"/>
              </w:rPr>
              <w:lastRenderedPageBreak/>
              <w:t>Przepis koresponduje z regulacją zawartą w art. 168 ustawy</w:t>
            </w:r>
            <w:r w:rsidR="00BB350E">
              <w:rPr>
                <w:rFonts w:ascii="Calibri" w:eastAsia="Calibri" w:hAnsi="Calibri" w:cs="Calibri"/>
                <w:sz w:val="24"/>
                <w:szCs w:val="24"/>
              </w:rPr>
              <w:t xml:space="preserve"> -</w:t>
            </w:r>
            <w:r w:rsidRPr="00C2523C">
              <w:rPr>
                <w:rFonts w:ascii="Calibri" w:eastAsia="Calibri" w:hAnsi="Calibri" w:cs="Calibri"/>
                <w:sz w:val="24"/>
                <w:szCs w:val="24"/>
              </w:rPr>
              <w:t xml:space="preserve"> Prawo telekomunikacyjne i był na niej wzorowany. Zgodnie z tym </w:t>
            </w:r>
            <w:r w:rsidR="00BB350E">
              <w:rPr>
                <w:rFonts w:ascii="Calibri" w:eastAsia="Calibri" w:hAnsi="Calibri" w:cs="Calibri"/>
                <w:sz w:val="24"/>
                <w:szCs w:val="24"/>
              </w:rPr>
              <w:t>przepisem</w:t>
            </w:r>
            <w:r w:rsidRPr="00C2523C">
              <w:rPr>
                <w:rFonts w:ascii="Calibri" w:eastAsia="Calibri" w:hAnsi="Calibri" w:cs="Calibri"/>
                <w:sz w:val="24"/>
                <w:szCs w:val="24"/>
              </w:rPr>
              <w:t xml:space="preserve"> dostawca publicznie dostępnych usług telekomunikacyjnych jest obowiązany do rejestracji danych o wykonanych usługach telekomunikacyjnych, w zakresie umożliwiającym ustalenie należności za wykonanie tych usług oraz rozpatrzenie reklamacji.</w:t>
            </w:r>
          </w:p>
          <w:p w14:paraId="6585D9CD" w14:textId="26FBA3D4" w:rsidR="0041244E" w:rsidRPr="00C2523C" w:rsidRDefault="7E31C6CE" w:rsidP="002F0E46">
            <w:pPr>
              <w:spacing w:line="257" w:lineRule="auto"/>
              <w:rPr>
                <w:rFonts w:ascii="Calibri" w:eastAsia="Calibri" w:hAnsi="Calibri" w:cs="Calibri"/>
                <w:sz w:val="24"/>
                <w:szCs w:val="24"/>
              </w:rPr>
            </w:pPr>
            <w:r w:rsidRPr="00C2523C">
              <w:rPr>
                <w:rFonts w:ascii="Calibri" w:eastAsia="Calibri" w:hAnsi="Calibri" w:cs="Calibri"/>
                <w:sz w:val="24"/>
                <w:szCs w:val="24"/>
              </w:rPr>
              <w:t>Dane te dostawca przechowuje co najmniej przez okres 12 miesięcy, a w przypadku wniesienia reklamacji - przez okres niezbędny do rozstrzygnięcia sporu.</w:t>
            </w:r>
          </w:p>
          <w:p w14:paraId="444F911A" w14:textId="352E2CBD" w:rsidR="0041244E" w:rsidRPr="00C2523C" w:rsidRDefault="7E31C6CE" w:rsidP="002F0E46">
            <w:pPr>
              <w:spacing w:line="257" w:lineRule="auto"/>
              <w:rPr>
                <w:rFonts w:ascii="Calibri" w:eastAsia="Calibri" w:hAnsi="Calibri" w:cs="Calibri"/>
                <w:sz w:val="24"/>
                <w:szCs w:val="24"/>
              </w:rPr>
            </w:pPr>
            <w:r w:rsidRPr="00C2523C">
              <w:rPr>
                <w:rFonts w:ascii="Calibri" w:eastAsia="Calibri" w:hAnsi="Calibri" w:cs="Calibri"/>
                <w:sz w:val="24"/>
                <w:szCs w:val="24"/>
              </w:rPr>
              <w:t xml:space="preserve"> </w:t>
            </w:r>
          </w:p>
          <w:p w14:paraId="0D4C4FDE" w14:textId="2A98EAC3" w:rsidR="0041244E" w:rsidRPr="00C2523C" w:rsidRDefault="7E31C6CE" w:rsidP="002F0E46">
            <w:pPr>
              <w:spacing w:line="257" w:lineRule="auto"/>
              <w:rPr>
                <w:rFonts w:ascii="Calibri" w:eastAsia="Calibri" w:hAnsi="Calibri" w:cs="Calibri"/>
                <w:sz w:val="24"/>
                <w:szCs w:val="24"/>
              </w:rPr>
            </w:pPr>
            <w:r w:rsidRPr="00C2523C">
              <w:rPr>
                <w:rFonts w:ascii="Calibri" w:eastAsia="Calibri" w:hAnsi="Calibri" w:cs="Calibri"/>
                <w:sz w:val="24"/>
                <w:szCs w:val="24"/>
              </w:rPr>
              <w:t xml:space="preserve">Rodzaj zbieranych danych wynika z definicji tajemnicy telekomunikacyjnej zawartej w art. 159 ustawy Prawo telekomunikacyjne i nie jest konieczne ich wskazywanie. Również w przypadku art. 168 Pt </w:t>
            </w:r>
            <w:r w:rsidRPr="00C2523C">
              <w:rPr>
                <w:rFonts w:ascii="Calibri" w:eastAsia="Calibri" w:hAnsi="Calibri" w:cs="Calibri"/>
                <w:sz w:val="24"/>
                <w:szCs w:val="24"/>
              </w:rPr>
              <w:lastRenderedPageBreak/>
              <w:t xml:space="preserve">uznano, iż przepis powinien być przyszłościowy, a zatem katalog przetwarzanych danych będzie zależny od rodzaju usługi i stosowanej technologii. </w:t>
            </w:r>
          </w:p>
          <w:p w14:paraId="51CE1C3E" w14:textId="24FE0E14" w:rsidR="0041244E" w:rsidRPr="00C2523C" w:rsidRDefault="7E31C6CE" w:rsidP="002F0E46">
            <w:pPr>
              <w:spacing w:line="257" w:lineRule="auto"/>
              <w:rPr>
                <w:rFonts w:ascii="Calibri" w:eastAsia="Calibri" w:hAnsi="Calibri" w:cs="Calibri"/>
                <w:sz w:val="24"/>
                <w:szCs w:val="24"/>
              </w:rPr>
            </w:pPr>
            <w:r w:rsidRPr="00C2523C">
              <w:rPr>
                <w:rFonts w:ascii="Calibri" w:eastAsia="Calibri" w:hAnsi="Calibri" w:cs="Calibri"/>
                <w:sz w:val="24"/>
                <w:szCs w:val="24"/>
              </w:rPr>
              <w:t xml:space="preserve"> </w:t>
            </w:r>
          </w:p>
          <w:p w14:paraId="63E84D43" w14:textId="2681B504" w:rsidR="0041244E" w:rsidRPr="00C2523C" w:rsidRDefault="7E31C6CE" w:rsidP="002F0E46">
            <w:pPr>
              <w:spacing w:line="257" w:lineRule="auto"/>
              <w:rPr>
                <w:rFonts w:ascii="Calibri" w:eastAsia="Calibri" w:hAnsi="Calibri" w:cs="Calibri"/>
                <w:sz w:val="24"/>
                <w:szCs w:val="24"/>
              </w:rPr>
            </w:pPr>
            <w:r w:rsidRPr="00C2523C">
              <w:rPr>
                <w:rFonts w:ascii="Calibri" w:eastAsia="Calibri" w:hAnsi="Calibri" w:cs="Calibri"/>
                <w:sz w:val="24"/>
                <w:szCs w:val="24"/>
              </w:rPr>
              <w:t>W zakresie miejsca i sposobu prowadzenia „rejestracji” zasadne jest pozostawienie tej kwestii, podobnie jak w ustawie Pt, do decyzji przedsiębiorcy.</w:t>
            </w:r>
          </w:p>
          <w:p w14:paraId="451FA078" w14:textId="63C9C41D" w:rsidR="0041244E" w:rsidRPr="00C2523C" w:rsidRDefault="7E31C6CE" w:rsidP="002F0E46">
            <w:pPr>
              <w:spacing w:line="257" w:lineRule="auto"/>
              <w:rPr>
                <w:rFonts w:ascii="Calibri" w:eastAsia="Calibri" w:hAnsi="Calibri" w:cs="Calibri"/>
                <w:sz w:val="24"/>
                <w:szCs w:val="24"/>
              </w:rPr>
            </w:pPr>
            <w:r w:rsidRPr="00C2523C">
              <w:rPr>
                <w:rFonts w:ascii="Calibri" w:eastAsia="Calibri" w:hAnsi="Calibri" w:cs="Calibri"/>
                <w:sz w:val="24"/>
                <w:szCs w:val="24"/>
              </w:rPr>
              <w:t xml:space="preserve"> </w:t>
            </w:r>
          </w:p>
          <w:p w14:paraId="20BE9078" w14:textId="069A61AD" w:rsidR="0041244E" w:rsidRPr="00C2523C" w:rsidRDefault="7E31C6CE">
            <w:pPr>
              <w:rPr>
                <w:rFonts w:ascii="Calibri" w:eastAsia="Calibri" w:hAnsi="Calibri" w:cs="Calibri"/>
                <w:sz w:val="24"/>
                <w:szCs w:val="24"/>
              </w:rPr>
            </w:pPr>
            <w:r w:rsidRPr="00C2523C">
              <w:rPr>
                <w:rFonts w:ascii="Calibri" w:eastAsia="Calibri" w:hAnsi="Calibri" w:cs="Calibri"/>
                <w:sz w:val="24"/>
                <w:szCs w:val="24"/>
              </w:rPr>
              <w:t>Proponuje się zmianę wyrażenia „co najmniej przez okres 12 miesięcy” na „przez okres 12 miesięcy”.</w:t>
            </w:r>
          </w:p>
        </w:tc>
      </w:tr>
      <w:tr w:rsidR="00C2523C" w:rsidRPr="00C2523C" w14:paraId="21672C5D" w14:textId="77777777" w:rsidTr="002F0E46">
        <w:tc>
          <w:tcPr>
            <w:tcW w:w="750" w:type="dxa"/>
          </w:tcPr>
          <w:p w14:paraId="26F78D7A" w14:textId="77777777" w:rsidR="008B3015" w:rsidRPr="00C2523C" w:rsidRDefault="008B3015"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01FB5AF0" w14:textId="4BE38E48" w:rsidR="008B3015" w:rsidRPr="00C2523C" w:rsidRDefault="008B3015" w:rsidP="00277373">
            <w:pPr>
              <w:rPr>
                <w:rFonts w:cstheme="minorHAnsi"/>
                <w:sz w:val="24"/>
                <w:szCs w:val="24"/>
              </w:rPr>
            </w:pPr>
            <w:r w:rsidRPr="00C2523C">
              <w:rPr>
                <w:rFonts w:cstheme="minorHAnsi"/>
                <w:sz w:val="24"/>
                <w:szCs w:val="24"/>
              </w:rPr>
              <w:t>MSUE</w:t>
            </w:r>
          </w:p>
        </w:tc>
        <w:tc>
          <w:tcPr>
            <w:tcW w:w="1328" w:type="dxa"/>
          </w:tcPr>
          <w:p w14:paraId="22DC65F5" w14:textId="1A0CE75B" w:rsidR="008B3015" w:rsidRPr="00C2523C" w:rsidRDefault="008B3015" w:rsidP="00277373">
            <w:pPr>
              <w:rPr>
                <w:rFonts w:cstheme="minorHAnsi"/>
                <w:sz w:val="24"/>
                <w:szCs w:val="24"/>
              </w:rPr>
            </w:pPr>
            <w:r w:rsidRPr="00C2523C">
              <w:rPr>
                <w:rFonts w:cstheme="minorHAnsi"/>
                <w:sz w:val="24"/>
                <w:szCs w:val="24"/>
              </w:rPr>
              <w:t>Art. 14 ust. 2</w:t>
            </w:r>
          </w:p>
        </w:tc>
        <w:tc>
          <w:tcPr>
            <w:tcW w:w="7229" w:type="dxa"/>
          </w:tcPr>
          <w:p w14:paraId="7C144B59" w14:textId="77777777" w:rsidR="008B3015" w:rsidRPr="00C2523C" w:rsidRDefault="008B3015" w:rsidP="008B3015">
            <w:pPr>
              <w:pStyle w:val="Akapitzlist"/>
              <w:numPr>
                <w:ilvl w:val="0"/>
                <w:numId w:val="11"/>
              </w:numPr>
              <w:spacing w:after="120" w:line="240" w:lineRule="auto"/>
              <w:ind w:left="0" w:firstLine="0"/>
              <w:jc w:val="both"/>
              <w:rPr>
                <w:rFonts w:eastAsia="Times New Roman"/>
                <w:sz w:val="24"/>
                <w:szCs w:val="24"/>
              </w:rPr>
            </w:pPr>
            <w:r w:rsidRPr="00C2523C">
              <w:rPr>
                <w:rFonts w:eastAsia="Times New Roman"/>
                <w:sz w:val="24"/>
                <w:szCs w:val="24"/>
              </w:rPr>
              <w:t>Zgodnie z projektowanym art. 14 ust. 2 ustawy przedsiębiorcy telekomunikacyjni mogą przetwarzać i wzajemnie udostępniać również komunikat elektroniczny w celu identyfikacji, zapobiegania i zwalczania smishingu. Ponadto, zgodnie z ust. 3 tego przepisu, przedsiębiorca telekomunikacyjny może przetwarzać:</w:t>
            </w:r>
          </w:p>
          <w:p w14:paraId="319B8580" w14:textId="77777777" w:rsidR="008B3015" w:rsidRPr="00C2523C" w:rsidRDefault="008B3015" w:rsidP="008B3015">
            <w:pPr>
              <w:pStyle w:val="Akapitzlist"/>
              <w:spacing w:after="120" w:line="240" w:lineRule="auto"/>
              <w:ind w:left="567"/>
              <w:jc w:val="both"/>
              <w:rPr>
                <w:rFonts w:eastAsia="Times New Roman"/>
                <w:sz w:val="24"/>
                <w:szCs w:val="24"/>
              </w:rPr>
            </w:pPr>
            <w:r w:rsidRPr="00C2523C">
              <w:rPr>
                <w:rFonts w:eastAsia="Times New Roman"/>
                <w:sz w:val="24"/>
                <w:szCs w:val="24"/>
              </w:rPr>
              <w:t>1)</w:t>
            </w:r>
            <w:r w:rsidRPr="00C2523C">
              <w:rPr>
                <w:rFonts w:eastAsia="Times New Roman"/>
                <w:sz w:val="24"/>
                <w:szCs w:val="24"/>
              </w:rPr>
              <w:tab/>
              <w:t xml:space="preserve">treści krótkich wiadomości tekstowych (SMS), oraz </w:t>
            </w:r>
          </w:p>
          <w:p w14:paraId="365D5631" w14:textId="47770F66" w:rsidR="008B3015" w:rsidRPr="00C2523C" w:rsidRDefault="008B3015" w:rsidP="008B3015">
            <w:pPr>
              <w:pStyle w:val="Akapitzlist"/>
              <w:spacing w:after="120" w:line="240" w:lineRule="auto"/>
              <w:ind w:left="567"/>
              <w:jc w:val="both"/>
              <w:rPr>
                <w:rFonts w:eastAsia="Times New Roman"/>
                <w:sz w:val="24"/>
                <w:szCs w:val="24"/>
              </w:rPr>
            </w:pPr>
            <w:r w:rsidRPr="00C2523C">
              <w:rPr>
                <w:rFonts w:eastAsia="Times New Roman"/>
                <w:sz w:val="24"/>
                <w:szCs w:val="24"/>
              </w:rPr>
              <w:t>2)</w:t>
            </w:r>
            <w:r w:rsidRPr="00C2523C">
              <w:rPr>
                <w:rFonts w:eastAsia="Times New Roman"/>
                <w:sz w:val="24"/>
                <w:szCs w:val="24"/>
              </w:rPr>
              <w:tab/>
              <w:t>dane o usługach telekomunikacyjnych, które nie zostały przez tego przedsiębiorcę wykonane w związku z realizacją obowiązku, o którym mowa w art. 4 ust. 6 lub uprawnienia, o którym mowa w art.</w:t>
            </w:r>
            <w:r w:rsidR="00BF72A3" w:rsidRPr="00C2523C">
              <w:rPr>
                <w:rFonts w:eastAsia="Times New Roman"/>
                <w:sz w:val="24"/>
                <w:szCs w:val="24"/>
              </w:rPr>
              <w:t xml:space="preserve"> </w:t>
            </w:r>
            <w:r w:rsidRPr="00C2523C">
              <w:rPr>
                <w:rFonts w:eastAsia="Times New Roman"/>
                <w:sz w:val="24"/>
                <w:szCs w:val="24"/>
              </w:rPr>
              <w:t>7</w:t>
            </w:r>
          </w:p>
          <w:p w14:paraId="35C075B6" w14:textId="77777777" w:rsidR="008B3015" w:rsidRPr="00C2523C" w:rsidRDefault="008B3015" w:rsidP="008B3015">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 w celu realizacji obowiązku, o którym mowa w art. 3 ust. 2, art. 4 ust. 6 i art. 8 oraz realizacji uprawnienia, o którym mowa w art. 7, a także na cele związane z dochodzeniem roszczeń.</w:t>
            </w:r>
          </w:p>
          <w:p w14:paraId="33708DC7" w14:textId="77777777" w:rsidR="008B3015" w:rsidRPr="00C2523C" w:rsidRDefault="008B3015" w:rsidP="008B3015">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lastRenderedPageBreak/>
              <w:t xml:space="preserve">Wydaje się, że przywołane przepisy umożliwiają ingerencję w treść komunikatów elektronicznych oraz krótkich wiadomości tekstowych. Tymczasem na mocy art. 5 ust. 1 </w:t>
            </w:r>
            <w:r w:rsidRPr="00C2523C">
              <w:rPr>
                <w:rFonts w:eastAsia="Times New Roman"/>
                <w:i/>
                <w:sz w:val="24"/>
                <w:szCs w:val="24"/>
              </w:rPr>
              <w:t>dyrektywy 2002/58/WE Parlamentu Europejskiego i Rady z dnia 12 lipca 2002 r. dotyczącej przetwarzania danych osobowych i ochrony prywatności w sektorze łączności elektronicznej (dyrektywa o prywatności i łączności elektronicznej)</w:t>
            </w:r>
            <w:r w:rsidRPr="00C2523C">
              <w:rPr>
                <w:rFonts w:eastAsia="Times New Roman"/>
                <w:sz w:val="24"/>
                <w:szCs w:val="24"/>
              </w:rPr>
              <w:t xml:space="preserve"> państwa członkowskie mają zapewnić, poprzez ustawodawstwo krajowe, poufność komunikacji i związanych z nią danych o ruchu. W szczególności zakazane powinno być słuchanie, nagrywanie, przechowywanie lub inne rodzaje przejęcia lub nadzoru komunikatu i związanych z nim danych o ruchu przez osoby inne niż użytkownicy, bez zgody zainteresowanych użytkowników, z wyjątkiem upoważnienia zgodnego z art. 15 ust. 1.</w:t>
            </w:r>
          </w:p>
          <w:p w14:paraId="7FFBC9C8" w14:textId="77777777" w:rsidR="008B3015" w:rsidRPr="00C2523C" w:rsidRDefault="008B3015" w:rsidP="008B3015">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Z kolei zgodnie z art. 15 ust. 1 dyrektywy 2002/58/WE państwa członkowskie mogą uchwalić środki ustawodawcze w celu ograniczenia zakresu praw i obowiązków przewidzianych w art. 5, 6, art. 8 ust. 1–4, i art. 9 tej dyrektywy, gdy takie ograniczenia stanowią środki niezbędne, właściwe i proporcjonalne w ramach społeczeństwa demokratycznego do zapewnienia bezpieczeństwa narodowego, obronności, bezpieczeństwa publicznego oraz zapobiegania, dochodzenia, wykrywania i karania przestępstw kryminalnych lub niedozwolonego używania systemów łączności elektronicznej.</w:t>
            </w:r>
          </w:p>
          <w:p w14:paraId="7978EA39" w14:textId="77777777" w:rsidR="008B3015" w:rsidRPr="00C2523C" w:rsidRDefault="008B3015" w:rsidP="008B3015">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Możliwe jest zatem ustanowienie środków w tym zakresie, po pierwsze na podstawie zgody zainteresowanego użytkownika, a po drugie, w celu zapobiegania niedozwolonemu używaniu systemów łączności elektronicznej - pod warunkiem jednak, że środki te będą niezbędne, właściwe i proporcjonalne do tego celu.</w:t>
            </w:r>
          </w:p>
          <w:p w14:paraId="2EBE948E" w14:textId="77777777" w:rsidR="008B3015" w:rsidRPr="00C2523C" w:rsidRDefault="008B3015" w:rsidP="008B3015">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 xml:space="preserve">W tym zakresie wyjaśnienia przez projektodawcę wymaga sposób przetwarzania informacji, o których jest mowa w projektowanym art. 14 </w:t>
            </w:r>
            <w:r w:rsidRPr="00C2523C">
              <w:rPr>
                <w:rFonts w:eastAsia="Times New Roman"/>
                <w:sz w:val="24"/>
                <w:szCs w:val="24"/>
              </w:rPr>
              <w:lastRenderedPageBreak/>
              <w:t xml:space="preserve">ust. 2 i ust. 3 ustawy i tego, czy treści komunikatów elektronicznych oraz treści krótkich wiadomości tekstowych będą pozyskiwane od samych zainteresowanych użytkowników (np. tak jak to sugeruje obecne brzmienie art. 4 ust. 1 projektu, zgodnie z którym CSIRT NASK na podstawie otrzymanych od odbiorców krótkich wiadomości tekstowych (SMS) monitoruje występowanie smishingu), czy też przetwarzanie to będzie odbywało się w inny sposób, np. automatyczny, i będzie polegało na filtrowaniu treści komunikatów pod kątem występowania w nich niedozwolonych treści. </w:t>
            </w:r>
          </w:p>
          <w:p w14:paraId="6055CB33" w14:textId="54A54800" w:rsidR="008B3015" w:rsidRPr="00C2523C" w:rsidRDefault="008B3015" w:rsidP="008B3015">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Uzasadnienie projektu ustawy nie zawiera w tym zakresie wyjaśnień, a kwestia ta jest istotna do właściwej oceny zgodności projektowanych rozwiązań z przepisami dyrektywy 2002/58/WE, jak również</w:t>
            </w:r>
            <w:r w:rsidR="00BF72A3" w:rsidRPr="00C2523C">
              <w:rPr>
                <w:rFonts w:eastAsia="Times New Roman"/>
                <w:sz w:val="24"/>
                <w:szCs w:val="24"/>
              </w:rPr>
              <w:t xml:space="preserve"> </w:t>
            </w:r>
            <w:r w:rsidRPr="00C2523C">
              <w:rPr>
                <w:rFonts w:eastAsia="Times New Roman"/>
                <w:sz w:val="24"/>
                <w:szCs w:val="24"/>
              </w:rPr>
              <w:t xml:space="preserve">- jak się zdaje - z </w:t>
            </w:r>
            <w:r w:rsidRPr="00C2523C">
              <w:rPr>
                <w:rFonts w:eastAsia="Times New Roman"/>
                <w:i/>
                <w:sz w:val="24"/>
                <w:szCs w:val="24"/>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C2523C">
              <w:rPr>
                <w:rFonts w:eastAsia="Times New Roman"/>
                <w:sz w:val="24"/>
                <w:szCs w:val="24"/>
              </w:rPr>
              <w:t xml:space="preserve">. Należy bowiem pamiętać, że jakakolwiek ingerencja w treść komunikatów łączności elektronicznej powinna być dozwolona jedynie w bardzo jasno określonych warunkach i w konkretnych celach oraz powinna podlegać odpowiednim zabezpieczeniom przed nadużyciami. </w:t>
            </w:r>
          </w:p>
          <w:p w14:paraId="7C402764" w14:textId="77777777" w:rsidR="008B3015" w:rsidRPr="00C2523C" w:rsidRDefault="008B3015">
            <w:pPr>
              <w:autoSpaceDE w:val="0"/>
              <w:autoSpaceDN w:val="0"/>
              <w:adjustRightInd w:val="0"/>
              <w:rPr>
                <w:rFonts w:cstheme="minorHAnsi"/>
                <w:sz w:val="24"/>
                <w:szCs w:val="24"/>
              </w:rPr>
            </w:pPr>
          </w:p>
        </w:tc>
        <w:tc>
          <w:tcPr>
            <w:tcW w:w="3509" w:type="dxa"/>
          </w:tcPr>
          <w:p w14:paraId="11653A5F" w14:textId="0D6E0A96" w:rsidR="008B3015" w:rsidRPr="00C2523C" w:rsidRDefault="3E504C65">
            <w:pPr>
              <w:rPr>
                <w:rFonts w:ascii="Calibri" w:eastAsia="Calibri" w:hAnsi="Calibri" w:cs="Calibri"/>
                <w:b/>
                <w:bCs/>
                <w:sz w:val="24"/>
                <w:szCs w:val="24"/>
              </w:rPr>
            </w:pPr>
            <w:r w:rsidRPr="00C2523C">
              <w:rPr>
                <w:rFonts w:ascii="Calibri" w:eastAsia="Calibri" w:hAnsi="Calibri" w:cs="Calibri"/>
                <w:b/>
                <w:bCs/>
                <w:sz w:val="24"/>
                <w:szCs w:val="24"/>
              </w:rPr>
              <w:lastRenderedPageBreak/>
              <w:t xml:space="preserve">Uwaga </w:t>
            </w:r>
            <w:r w:rsidR="00277339" w:rsidRPr="00C2523C">
              <w:rPr>
                <w:rFonts w:ascii="Calibri" w:eastAsia="Calibri" w:hAnsi="Calibri" w:cs="Calibri"/>
                <w:b/>
                <w:bCs/>
                <w:sz w:val="24"/>
                <w:szCs w:val="24"/>
              </w:rPr>
              <w:t xml:space="preserve">uwzględniona </w:t>
            </w:r>
          </w:p>
          <w:p w14:paraId="4B3B9D53" w14:textId="14ADA434" w:rsidR="008B3015" w:rsidRPr="00C2523C" w:rsidRDefault="3E504C65" w:rsidP="002F0E46">
            <w:pPr>
              <w:spacing w:line="257" w:lineRule="auto"/>
              <w:rPr>
                <w:rFonts w:ascii="Calibri" w:eastAsia="Calibri" w:hAnsi="Calibri" w:cs="Calibri"/>
                <w:sz w:val="24"/>
                <w:szCs w:val="24"/>
              </w:rPr>
            </w:pPr>
            <w:r w:rsidRPr="00C2523C">
              <w:rPr>
                <w:rFonts w:ascii="Calibri" w:eastAsia="Calibri" w:hAnsi="Calibri" w:cs="Calibri"/>
                <w:sz w:val="24"/>
                <w:szCs w:val="24"/>
              </w:rPr>
              <w:t>Proponuje się rozszerzenie uzasadnienia projektowanej ustawy o wskazane w uwadze zagadnienia.</w:t>
            </w:r>
          </w:p>
          <w:p w14:paraId="55211DF8" w14:textId="19C710C7" w:rsidR="008B3015" w:rsidRPr="00C2523C" w:rsidRDefault="3E504C65" w:rsidP="002F0E46">
            <w:pPr>
              <w:spacing w:line="257" w:lineRule="auto"/>
              <w:rPr>
                <w:rFonts w:ascii="Calibri" w:eastAsia="Calibri" w:hAnsi="Calibri" w:cs="Calibri"/>
                <w:sz w:val="24"/>
                <w:szCs w:val="24"/>
              </w:rPr>
            </w:pPr>
            <w:r w:rsidRPr="00C2523C">
              <w:rPr>
                <w:rFonts w:ascii="Calibri" w:eastAsia="Calibri" w:hAnsi="Calibri" w:cs="Calibri"/>
                <w:sz w:val="24"/>
                <w:szCs w:val="24"/>
              </w:rPr>
              <w:t xml:space="preserve">Przy okazji należy wskazać, iż projektowane przepisy nie przewidują ingerencji w treść komunikatu elektronicznego. Tajemnica telekomunikacyjna podlega wyłączeniu na podstawie art. 159 ust. 2 pkt 4 PT, wobec </w:t>
            </w:r>
            <w:r w:rsidRPr="00C2523C">
              <w:rPr>
                <w:rFonts w:ascii="Calibri" w:eastAsia="Calibri" w:hAnsi="Calibri" w:cs="Calibri"/>
                <w:sz w:val="24"/>
                <w:szCs w:val="24"/>
              </w:rPr>
              <w:lastRenderedPageBreak/>
              <w:t xml:space="preserve">której przepisy projektowanej ustawy stanowią </w:t>
            </w:r>
            <w:r w:rsidRPr="00C2523C">
              <w:rPr>
                <w:rFonts w:ascii="Calibri" w:eastAsia="Calibri" w:hAnsi="Calibri" w:cs="Calibri"/>
                <w:i/>
                <w:sz w:val="24"/>
                <w:szCs w:val="24"/>
              </w:rPr>
              <w:t>lex specialis</w:t>
            </w:r>
            <w:r w:rsidRPr="00C2523C">
              <w:rPr>
                <w:rFonts w:ascii="Calibri" w:eastAsia="Calibri" w:hAnsi="Calibri" w:cs="Calibri"/>
                <w:sz w:val="24"/>
                <w:szCs w:val="24"/>
              </w:rPr>
              <w:t>.</w:t>
            </w:r>
          </w:p>
          <w:p w14:paraId="65725B60" w14:textId="1A6306BC" w:rsidR="008B3015" w:rsidRPr="00C2523C" w:rsidRDefault="3E504C65" w:rsidP="002F0E46">
            <w:pPr>
              <w:spacing w:line="257" w:lineRule="auto"/>
              <w:rPr>
                <w:rFonts w:ascii="Calibri" w:eastAsia="Calibri" w:hAnsi="Calibri" w:cs="Calibri"/>
                <w:sz w:val="24"/>
                <w:szCs w:val="24"/>
              </w:rPr>
            </w:pPr>
            <w:r w:rsidRPr="00C2523C">
              <w:rPr>
                <w:rFonts w:ascii="Calibri" w:eastAsia="Calibri" w:hAnsi="Calibri" w:cs="Calibri"/>
                <w:sz w:val="24"/>
                <w:szCs w:val="24"/>
              </w:rPr>
              <w:t>W ramach wykonywania obowiązku na rzecz bezpieczeństwa publicznego oraz zapobiegania, dochodzenia, wykrywania i karania przestępstw kryminalnych lub niedozwolonego używania systemów łączności elektronicznej przedsiębiorcy telekomunikacyjni uprawnieni będą do blokowania wiadomości (SMS) po porównaniu jej ze wzorcem określonym przez NASK lub po automatycznej identyfikacji wykonywanej w oparciu o system informatyczny przedsiębiorcy. Nie podlega ingerencji treść wiadomości – zostaje ona zablokowana.</w:t>
            </w:r>
          </w:p>
          <w:p w14:paraId="443431CC" w14:textId="22C16E30" w:rsidR="008B3015" w:rsidRPr="00C2523C" w:rsidRDefault="3E504C65">
            <w:pPr>
              <w:rPr>
                <w:rFonts w:ascii="Calibri" w:eastAsia="Calibri" w:hAnsi="Calibri" w:cs="Calibri"/>
                <w:sz w:val="24"/>
                <w:szCs w:val="24"/>
              </w:rPr>
            </w:pPr>
            <w:r w:rsidRPr="00C2523C">
              <w:rPr>
                <w:rFonts w:ascii="Calibri" w:eastAsia="Calibri" w:hAnsi="Calibri" w:cs="Calibri"/>
                <w:sz w:val="24"/>
                <w:szCs w:val="24"/>
              </w:rPr>
              <w:t>Należyte wyjaśnienia zostaną zawarte w uzasadnieniu ustawy.</w:t>
            </w:r>
          </w:p>
        </w:tc>
      </w:tr>
      <w:tr w:rsidR="00C2523C" w:rsidRPr="00C2523C" w14:paraId="01C9290C" w14:textId="77777777" w:rsidTr="002F0E46">
        <w:tc>
          <w:tcPr>
            <w:tcW w:w="750" w:type="dxa"/>
          </w:tcPr>
          <w:p w14:paraId="4959D12C"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15BA7082" w14:textId="7AB6FC75"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2C7AF7CE" w14:textId="5B204201" w:rsidR="00FD3498" w:rsidRPr="00C2523C" w:rsidRDefault="00FD3498" w:rsidP="00277373">
            <w:pPr>
              <w:rPr>
                <w:rFonts w:cstheme="minorHAnsi"/>
                <w:sz w:val="24"/>
                <w:szCs w:val="24"/>
              </w:rPr>
            </w:pPr>
            <w:r w:rsidRPr="00C2523C">
              <w:rPr>
                <w:rFonts w:cstheme="minorHAnsi"/>
                <w:sz w:val="24"/>
                <w:szCs w:val="24"/>
              </w:rPr>
              <w:t>Art. 14 ust. 4</w:t>
            </w:r>
          </w:p>
        </w:tc>
        <w:tc>
          <w:tcPr>
            <w:tcW w:w="7229" w:type="dxa"/>
          </w:tcPr>
          <w:p w14:paraId="048165BE" w14:textId="050B1871" w:rsidR="00FD3498" w:rsidRPr="00C2523C" w:rsidRDefault="00FD3498" w:rsidP="00847111">
            <w:pPr>
              <w:autoSpaceDE w:val="0"/>
              <w:autoSpaceDN w:val="0"/>
              <w:adjustRightInd w:val="0"/>
              <w:rPr>
                <w:rFonts w:cstheme="minorHAnsi"/>
                <w:sz w:val="24"/>
                <w:szCs w:val="24"/>
              </w:rPr>
            </w:pPr>
            <w:r w:rsidRPr="00C2523C">
              <w:rPr>
                <w:rFonts w:cstheme="minorHAnsi"/>
                <w:sz w:val="24"/>
                <w:szCs w:val="24"/>
              </w:rPr>
              <w:t xml:space="preserve">Należy również wskazać, że w projektowanym </w:t>
            </w:r>
            <w:r w:rsidRPr="00C2523C">
              <w:rPr>
                <w:rFonts w:cstheme="minorHAnsi"/>
                <w:b/>
                <w:bCs/>
                <w:sz w:val="24"/>
                <w:szCs w:val="24"/>
              </w:rPr>
              <w:t xml:space="preserve">art. 14 ust. 4 </w:t>
            </w:r>
            <w:r w:rsidRPr="00C2523C">
              <w:rPr>
                <w:rFonts w:cstheme="minorHAnsi"/>
                <w:sz w:val="24"/>
                <w:szCs w:val="24"/>
              </w:rPr>
              <w:t>zostało przewidziane</w:t>
            </w:r>
            <w:r w:rsidR="00BA54DC" w:rsidRPr="00C2523C">
              <w:rPr>
                <w:rFonts w:cstheme="minorHAnsi"/>
                <w:sz w:val="24"/>
                <w:szCs w:val="24"/>
              </w:rPr>
              <w:t xml:space="preserve"> </w:t>
            </w:r>
            <w:r w:rsidRPr="00C2523C">
              <w:rPr>
                <w:rFonts w:cstheme="minorHAnsi"/>
                <w:sz w:val="24"/>
                <w:szCs w:val="24"/>
              </w:rPr>
              <w:t>wprowadzenie ograniczenia dla praw osób, których dane dotyczą, wynikających z przepisów</w:t>
            </w:r>
            <w:r w:rsidR="00BA54DC" w:rsidRPr="00C2523C">
              <w:rPr>
                <w:rFonts w:cstheme="minorHAnsi"/>
                <w:sz w:val="24"/>
                <w:szCs w:val="24"/>
              </w:rPr>
              <w:t xml:space="preserve"> </w:t>
            </w:r>
            <w:r w:rsidRPr="00C2523C">
              <w:rPr>
                <w:rFonts w:cstheme="minorHAnsi"/>
                <w:sz w:val="24"/>
                <w:szCs w:val="24"/>
              </w:rPr>
              <w:t>rozporządzenia Parlamentu Europejskiego i Rady (UE) 2016/679 z dnia 27 kwietnia 2016 r.</w:t>
            </w:r>
            <w:r w:rsidR="00BA54DC" w:rsidRPr="00C2523C">
              <w:rPr>
                <w:rFonts w:cstheme="minorHAnsi"/>
                <w:i/>
                <w:iCs/>
                <w:sz w:val="24"/>
                <w:szCs w:val="24"/>
              </w:rPr>
              <w:t xml:space="preserve"> </w:t>
            </w:r>
            <w:r w:rsidRPr="00C2523C">
              <w:rPr>
                <w:rFonts w:cstheme="minorHAnsi"/>
                <w:i/>
                <w:iCs/>
                <w:sz w:val="24"/>
                <w:szCs w:val="24"/>
              </w:rPr>
              <w:t>w sprawie ochrony osób fizycznych w związku z przetwarzaniem danych osobowych i w sprawie</w:t>
            </w:r>
            <w:r w:rsidR="00BA54DC" w:rsidRPr="00C2523C">
              <w:rPr>
                <w:rFonts w:cstheme="minorHAnsi"/>
                <w:i/>
                <w:iCs/>
                <w:sz w:val="24"/>
                <w:szCs w:val="24"/>
              </w:rPr>
              <w:t xml:space="preserve"> </w:t>
            </w:r>
            <w:r w:rsidRPr="00C2523C">
              <w:rPr>
                <w:rFonts w:cstheme="minorHAnsi"/>
                <w:i/>
                <w:iCs/>
                <w:sz w:val="24"/>
                <w:szCs w:val="24"/>
              </w:rPr>
              <w:t>swobodnego przepływu takich danych oraz uchylenia dyrektywy 95/46/WE (ogólne</w:t>
            </w:r>
            <w:r w:rsidR="00BA54DC" w:rsidRPr="00C2523C">
              <w:rPr>
                <w:rFonts w:cstheme="minorHAnsi"/>
                <w:i/>
                <w:iCs/>
                <w:sz w:val="24"/>
                <w:szCs w:val="24"/>
              </w:rPr>
              <w:t xml:space="preserve"> </w:t>
            </w:r>
            <w:r w:rsidRPr="00C2523C">
              <w:rPr>
                <w:rFonts w:cstheme="minorHAnsi"/>
                <w:i/>
                <w:iCs/>
                <w:sz w:val="24"/>
                <w:szCs w:val="24"/>
              </w:rPr>
              <w:t xml:space="preserve">rozporządzenie o ochronie danych) </w:t>
            </w:r>
            <w:r w:rsidRPr="00C2523C">
              <w:rPr>
                <w:rFonts w:cstheme="minorHAnsi"/>
                <w:sz w:val="24"/>
                <w:szCs w:val="24"/>
              </w:rPr>
              <w:t>(Dz. Urz. UE L 119 z 04.05.2016, str. 1, z późn. zm.), dalej</w:t>
            </w:r>
            <w:r w:rsidR="00BA54DC" w:rsidRPr="00C2523C">
              <w:rPr>
                <w:rFonts w:cstheme="minorHAnsi"/>
                <w:sz w:val="24"/>
                <w:szCs w:val="24"/>
              </w:rPr>
              <w:t xml:space="preserve"> </w:t>
            </w:r>
            <w:r w:rsidRPr="00C2523C">
              <w:rPr>
                <w:rFonts w:cstheme="minorHAnsi"/>
                <w:sz w:val="24"/>
                <w:szCs w:val="24"/>
              </w:rPr>
              <w:lastRenderedPageBreak/>
              <w:t>„RODO”. Tego rodzaju ograniczenia, zgodnie z art. 23 RODO, mogą być wprowadzone aktem</w:t>
            </w:r>
            <w:r w:rsidR="00BA54DC" w:rsidRPr="00C2523C">
              <w:rPr>
                <w:rFonts w:cstheme="minorHAnsi"/>
                <w:sz w:val="24"/>
                <w:szCs w:val="24"/>
              </w:rPr>
              <w:t xml:space="preserve"> </w:t>
            </w:r>
            <w:r w:rsidRPr="00C2523C">
              <w:rPr>
                <w:rFonts w:cstheme="minorHAnsi"/>
                <w:sz w:val="24"/>
                <w:szCs w:val="24"/>
              </w:rPr>
              <w:t>prawnym prawa państwa członkowskiego, który zawierać będzie zapisy wskazane w art. 23</w:t>
            </w:r>
            <w:r w:rsidR="00BA54DC" w:rsidRPr="00C2523C">
              <w:rPr>
                <w:rFonts w:cstheme="minorHAnsi"/>
                <w:sz w:val="24"/>
                <w:szCs w:val="24"/>
              </w:rPr>
              <w:t xml:space="preserve"> </w:t>
            </w:r>
            <w:r w:rsidRPr="00C2523C">
              <w:rPr>
                <w:rFonts w:cstheme="minorHAnsi"/>
                <w:sz w:val="24"/>
                <w:szCs w:val="24"/>
              </w:rPr>
              <w:t>ust. 2 RODO. Opiniowany projekt nie realizuje w pełni wymogów tego przepisu.</w:t>
            </w:r>
          </w:p>
        </w:tc>
        <w:tc>
          <w:tcPr>
            <w:tcW w:w="3509" w:type="dxa"/>
          </w:tcPr>
          <w:p w14:paraId="680A8A5A" w14:textId="4A99D62C" w:rsidR="00FD3498" w:rsidRPr="00C2523C" w:rsidRDefault="3E504C65">
            <w:pPr>
              <w:rPr>
                <w:rFonts w:ascii="Calibri" w:eastAsia="Calibri" w:hAnsi="Calibri" w:cs="Calibri"/>
                <w:b/>
                <w:bCs/>
                <w:sz w:val="24"/>
                <w:szCs w:val="24"/>
              </w:rPr>
            </w:pPr>
            <w:r w:rsidRPr="00C2523C">
              <w:rPr>
                <w:rFonts w:ascii="Calibri" w:eastAsia="Calibri" w:hAnsi="Calibri" w:cs="Calibri"/>
                <w:b/>
                <w:bCs/>
                <w:sz w:val="24"/>
                <w:szCs w:val="24"/>
              </w:rPr>
              <w:lastRenderedPageBreak/>
              <w:t xml:space="preserve">Uwaga </w:t>
            </w:r>
            <w:r w:rsidR="002D0851" w:rsidRPr="00C2523C">
              <w:rPr>
                <w:rFonts w:ascii="Calibri" w:eastAsia="Calibri" w:hAnsi="Calibri" w:cs="Calibri"/>
                <w:b/>
                <w:bCs/>
                <w:sz w:val="24"/>
                <w:szCs w:val="24"/>
              </w:rPr>
              <w:t>uwzględniona</w:t>
            </w:r>
            <w:r w:rsidRPr="00C2523C">
              <w:rPr>
                <w:rFonts w:ascii="Calibri" w:eastAsia="Calibri" w:hAnsi="Calibri" w:cs="Calibri"/>
                <w:b/>
                <w:bCs/>
                <w:sz w:val="24"/>
                <w:szCs w:val="24"/>
              </w:rPr>
              <w:t xml:space="preserve"> </w:t>
            </w:r>
          </w:p>
          <w:p w14:paraId="36FF7CF5" w14:textId="768B9948" w:rsidR="00FD3498" w:rsidRPr="00C2523C" w:rsidRDefault="3E504C65" w:rsidP="002F0E46">
            <w:pPr>
              <w:spacing w:line="257" w:lineRule="auto"/>
              <w:rPr>
                <w:rFonts w:ascii="Calibri" w:eastAsia="Calibri" w:hAnsi="Calibri" w:cs="Calibri"/>
                <w:sz w:val="24"/>
                <w:szCs w:val="24"/>
              </w:rPr>
            </w:pPr>
            <w:r w:rsidRPr="00C2523C">
              <w:rPr>
                <w:rFonts w:ascii="Calibri" w:eastAsia="Calibri" w:hAnsi="Calibri" w:cs="Calibri"/>
                <w:sz w:val="24"/>
                <w:szCs w:val="24"/>
              </w:rPr>
              <w:t>Proponuje się rozszerzenie uzasadnienia o wskazane w uwadze zagadnienia, odnosząc się do relewantnych zapisów wskazanych w art. 23 ust. 2 RODO.</w:t>
            </w:r>
          </w:p>
          <w:p w14:paraId="7328DD92" w14:textId="1119CAB6" w:rsidR="00FD3498" w:rsidRPr="00C2523C" w:rsidRDefault="00FD3498" w:rsidP="3E504C65">
            <w:pPr>
              <w:rPr>
                <w:sz w:val="24"/>
                <w:szCs w:val="24"/>
              </w:rPr>
            </w:pPr>
          </w:p>
        </w:tc>
      </w:tr>
      <w:tr w:rsidR="00C2523C" w:rsidRPr="00C2523C" w14:paraId="5ED2135E" w14:textId="77777777" w:rsidTr="002F0E46">
        <w:tc>
          <w:tcPr>
            <w:tcW w:w="750" w:type="dxa"/>
          </w:tcPr>
          <w:p w14:paraId="11FE1930" w14:textId="77777777" w:rsidR="009961FC" w:rsidRPr="00C2523C" w:rsidRDefault="009961FC"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5C18FDE2" w14:textId="19A700BB" w:rsidR="009961FC" w:rsidRPr="00C2523C" w:rsidRDefault="009961FC" w:rsidP="00277373">
            <w:pPr>
              <w:rPr>
                <w:rFonts w:cstheme="minorHAnsi"/>
                <w:sz w:val="24"/>
                <w:szCs w:val="24"/>
              </w:rPr>
            </w:pPr>
            <w:r w:rsidRPr="00C2523C">
              <w:rPr>
                <w:rFonts w:cstheme="minorHAnsi"/>
                <w:sz w:val="24"/>
                <w:szCs w:val="24"/>
              </w:rPr>
              <w:t>MSUE</w:t>
            </w:r>
          </w:p>
        </w:tc>
        <w:tc>
          <w:tcPr>
            <w:tcW w:w="1328" w:type="dxa"/>
          </w:tcPr>
          <w:p w14:paraId="45D0B0D3" w14:textId="172E4825" w:rsidR="009961FC" w:rsidRPr="00C2523C" w:rsidRDefault="009961FC" w:rsidP="00277373">
            <w:pPr>
              <w:rPr>
                <w:rFonts w:cstheme="minorHAnsi"/>
                <w:sz w:val="24"/>
                <w:szCs w:val="24"/>
              </w:rPr>
            </w:pPr>
            <w:r w:rsidRPr="00C2523C">
              <w:rPr>
                <w:rFonts w:cstheme="minorHAnsi"/>
                <w:sz w:val="24"/>
                <w:szCs w:val="24"/>
              </w:rPr>
              <w:t>Art. 14 ust. 4</w:t>
            </w:r>
          </w:p>
        </w:tc>
        <w:tc>
          <w:tcPr>
            <w:tcW w:w="7229" w:type="dxa"/>
          </w:tcPr>
          <w:p w14:paraId="65925E73" w14:textId="77777777" w:rsidR="009961FC" w:rsidRPr="00C2523C" w:rsidRDefault="009961FC" w:rsidP="009961FC">
            <w:pPr>
              <w:pStyle w:val="Akapitzlist"/>
              <w:numPr>
                <w:ilvl w:val="0"/>
                <w:numId w:val="11"/>
              </w:numPr>
              <w:spacing w:after="120" w:line="240" w:lineRule="auto"/>
              <w:ind w:left="0" w:firstLine="0"/>
              <w:contextualSpacing w:val="0"/>
              <w:jc w:val="both"/>
              <w:rPr>
                <w:rFonts w:eastAsia="Times New Roman"/>
                <w:sz w:val="24"/>
                <w:szCs w:val="24"/>
              </w:rPr>
            </w:pPr>
            <w:r w:rsidRPr="00C2523C">
              <w:rPr>
                <w:rFonts w:eastAsia="Times New Roman"/>
                <w:sz w:val="24"/>
                <w:szCs w:val="24"/>
              </w:rPr>
              <w:t>Na podstawie art. 14 ust. 4 projektu ustawy do przetwarzania danych osobowych przez przedsiębiorców telekomunikacyjnych nie stosuje się przepisu art. 14 i 15 rozporządzenia 2016/679 w zakresie, w jakim jest to niezbędne dla identyfikacji, zapobiegania oraz zwalczania przestępstw na szkodę przedsiębiorcy telekomunikacyjnego.</w:t>
            </w:r>
          </w:p>
          <w:p w14:paraId="3B3E45A8" w14:textId="77777777" w:rsidR="009961FC" w:rsidRPr="00C2523C" w:rsidRDefault="009961FC" w:rsidP="009961FC">
            <w:pPr>
              <w:pStyle w:val="Akapitzlist"/>
              <w:spacing w:after="120" w:line="240" w:lineRule="auto"/>
              <w:ind w:left="0"/>
              <w:contextualSpacing w:val="0"/>
              <w:jc w:val="both"/>
              <w:rPr>
                <w:rFonts w:eastAsia="Times New Roman"/>
                <w:sz w:val="24"/>
                <w:szCs w:val="24"/>
              </w:rPr>
            </w:pPr>
            <w:r w:rsidRPr="00C2523C">
              <w:rPr>
                <w:rFonts w:eastAsia="Times New Roman"/>
                <w:sz w:val="24"/>
                <w:szCs w:val="24"/>
              </w:rPr>
              <w:t xml:space="preserve">Zwracam zatem uwagę na to, że na podstawie art. 23 ust. 1 rozporządzenia 2016/679 prawo Unii lub prawo państwa członkowskiego, któremu podlegają administrator danych lub podmiot przetwarzający, może aktem prawnym ograniczyć zakres obowiązków i praw przewidzianych w art. 12–22 i w art. 34, a także w art. 5 – o ile jego przepisy odpowiadają prawom i obowiązkom przewidzianym w art. 12–22 – jeżeli ograniczenie takie nie narusza istoty podstawowych praw i wolności oraz jest w demokratycznym społeczeństwie środkiem niezbędnym i proporcjonalnym, służącym określonym w tym ustępie celom. Można zatem wprowadzić ograniczenie w powyższym zakresie, które ma służyć np. celowi zapobiegania przestępczości, prowadzenia postępowań przygotowawczych, wykrywania lub ścigania czynów zabronionych lub wykonywania kar, w tym ochronie przed zagrożeniami dla bezpieczeństwa publicznego i zapobieganiu takim zagrożeniom (lit. d)), czy innym ważnym celom leżącym w ogólnym interesie publicznym Unii lub państwa członkowskiego, w szczególności ważnemu interesowi gospodarczemu lub finansowemu Unii lub państwa członkowskiego, w tym kwestiom pieniężnym, budżetowym i podatkowym, zdrowiu publicznemu i zabezpieczeniu społecznemu (lit. e)). Jednak przy wprowadzaniu takich regulacji zasadne jest przedstawienie uzasadnienia wykazującego, że projektowane środki są niezbędne i proporcjonalne do </w:t>
            </w:r>
            <w:r w:rsidRPr="00C2523C">
              <w:rPr>
                <w:rFonts w:eastAsia="Times New Roman"/>
                <w:sz w:val="24"/>
                <w:szCs w:val="24"/>
              </w:rPr>
              <w:lastRenderedPageBreak/>
              <w:t xml:space="preserve">takich celów, zgodnie z treścią wspomnianego art. 23 ust. 1 rozporządzenia 2016/679. Uzasadnienie projektu nie odnosi się do tej kwestii, potrzebne jest zatem jego uzupełnienie pod tym kątem. </w:t>
            </w:r>
          </w:p>
          <w:p w14:paraId="5F031CBD" w14:textId="77777777" w:rsidR="009961FC" w:rsidRPr="00C2523C" w:rsidRDefault="009961FC" w:rsidP="009961FC">
            <w:pPr>
              <w:pStyle w:val="Akapitzlist"/>
              <w:spacing w:after="120" w:line="240" w:lineRule="auto"/>
              <w:ind w:left="0"/>
              <w:jc w:val="both"/>
              <w:rPr>
                <w:rFonts w:eastAsia="Times New Roman"/>
                <w:sz w:val="24"/>
                <w:szCs w:val="24"/>
              </w:rPr>
            </w:pPr>
            <w:r w:rsidRPr="00C2523C">
              <w:rPr>
                <w:rFonts w:eastAsia="Times New Roman"/>
                <w:sz w:val="24"/>
                <w:szCs w:val="24"/>
              </w:rPr>
              <w:t>Ponadto na podstawie art. 23 ust. 2 rozporządzenia 2016/679 akt prawny, który ma wprowadzać takie ograniczenia, musi zawierać szczegółowe przepisy przynajmniej – w stosownym przypadku – o:</w:t>
            </w:r>
          </w:p>
          <w:p w14:paraId="15726F48" w14:textId="77777777" w:rsidR="009961FC" w:rsidRPr="00C2523C" w:rsidRDefault="009961FC" w:rsidP="009961FC">
            <w:pPr>
              <w:pStyle w:val="Akapitzlist"/>
              <w:numPr>
                <w:ilvl w:val="0"/>
                <w:numId w:val="12"/>
              </w:numPr>
              <w:spacing w:after="120" w:line="240" w:lineRule="auto"/>
              <w:jc w:val="both"/>
              <w:rPr>
                <w:rFonts w:eastAsia="Times New Roman"/>
                <w:sz w:val="24"/>
                <w:szCs w:val="24"/>
              </w:rPr>
            </w:pPr>
            <w:r w:rsidRPr="00C2523C">
              <w:rPr>
                <w:rFonts w:eastAsia="Times New Roman"/>
                <w:sz w:val="24"/>
                <w:szCs w:val="24"/>
              </w:rPr>
              <w:t>celach przetwarzania lub kategorii przetwarzania;</w:t>
            </w:r>
          </w:p>
          <w:p w14:paraId="6223D0DB" w14:textId="77777777" w:rsidR="009961FC" w:rsidRPr="00C2523C" w:rsidRDefault="009961FC" w:rsidP="009961FC">
            <w:pPr>
              <w:pStyle w:val="Akapitzlist"/>
              <w:numPr>
                <w:ilvl w:val="0"/>
                <w:numId w:val="12"/>
              </w:numPr>
              <w:spacing w:after="120" w:line="240" w:lineRule="auto"/>
              <w:jc w:val="both"/>
              <w:rPr>
                <w:rFonts w:eastAsia="Times New Roman"/>
                <w:sz w:val="24"/>
                <w:szCs w:val="24"/>
              </w:rPr>
            </w:pPr>
            <w:r w:rsidRPr="00C2523C">
              <w:rPr>
                <w:rFonts w:eastAsia="Times New Roman"/>
                <w:sz w:val="24"/>
                <w:szCs w:val="24"/>
              </w:rPr>
              <w:t>kategoriach danych osobowych;</w:t>
            </w:r>
          </w:p>
          <w:p w14:paraId="13104823" w14:textId="77777777" w:rsidR="009961FC" w:rsidRPr="00C2523C" w:rsidRDefault="009961FC" w:rsidP="009961FC">
            <w:pPr>
              <w:pStyle w:val="Akapitzlist"/>
              <w:numPr>
                <w:ilvl w:val="0"/>
                <w:numId w:val="12"/>
              </w:numPr>
              <w:spacing w:after="120" w:line="240" w:lineRule="auto"/>
              <w:jc w:val="both"/>
              <w:rPr>
                <w:rFonts w:eastAsia="Times New Roman"/>
                <w:sz w:val="24"/>
                <w:szCs w:val="24"/>
              </w:rPr>
            </w:pPr>
            <w:r w:rsidRPr="00C2523C">
              <w:rPr>
                <w:rFonts w:eastAsia="Times New Roman"/>
                <w:sz w:val="24"/>
                <w:szCs w:val="24"/>
              </w:rPr>
              <w:t>zakresie wprowadzonych ograniczeń;</w:t>
            </w:r>
          </w:p>
          <w:p w14:paraId="72AC33BD" w14:textId="77777777" w:rsidR="009961FC" w:rsidRPr="00C2523C" w:rsidRDefault="009961FC" w:rsidP="009961FC">
            <w:pPr>
              <w:pStyle w:val="Akapitzlist"/>
              <w:numPr>
                <w:ilvl w:val="0"/>
                <w:numId w:val="12"/>
              </w:numPr>
              <w:spacing w:after="120" w:line="240" w:lineRule="auto"/>
              <w:jc w:val="both"/>
              <w:rPr>
                <w:rFonts w:eastAsia="Times New Roman"/>
                <w:sz w:val="24"/>
                <w:szCs w:val="24"/>
              </w:rPr>
            </w:pPr>
            <w:r w:rsidRPr="00C2523C">
              <w:rPr>
                <w:rFonts w:eastAsia="Times New Roman"/>
                <w:sz w:val="24"/>
                <w:szCs w:val="24"/>
              </w:rPr>
              <w:t>zabezpieczeniach zapobiegających nadużyciom lub niezgodnemu z prawem dostępowi lub przekazywaniu;</w:t>
            </w:r>
          </w:p>
          <w:p w14:paraId="5349CF5F" w14:textId="77777777" w:rsidR="009961FC" w:rsidRPr="00C2523C" w:rsidRDefault="009961FC" w:rsidP="009961FC">
            <w:pPr>
              <w:pStyle w:val="Akapitzlist"/>
              <w:numPr>
                <w:ilvl w:val="0"/>
                <w:numId w:val="12"/>
              </w:numPr>
              <w:spacing w:after="120" w:line="240" w:lineRule="auto"/>
              <w:jc w:val="both"/>
              <w:rPr>
                <w:rFonts w:eastAsia="Times New Roman"/>
                <w:sz w:val="24"/>
                <w:szCs w:val="24"/>
              </w:rPr>
            </w:pPr>
            <w:r w:rsidRPr="00C2523C">
              <w:rPr>
                <w:rFonts w:eastAsia="Times New Roman"/>
                <w:sz w:val="24"/>
                <w:szCs w:val="24"/>
              </w:rPr>
              <w:t>określeniu administratora lub kategorii administratorów;</w:t>
            </w:r>
          </w:p>
          <w:p w14:paraId="51A55723" w14:textId="77777777" w:rsidR="009961FC" w:rsidRPr="00C2523C" w:rsidRDefault="009961FC" w:rsidP="009961FC">
            <w:pPr>
              <w:pStyle w:val="Akapitzlist"/>
              <w:numPr>
                <w:ilvl w:val="0"/>
                <w:numId w:val="12"/>
              </w:numPr>
              <w:spacing w:after="120" w:line="240" w:lineRule="auto"/>
              <w:jc w:val="both"/>
              <w:rPr>
                <w:rFonts w:eastAsia="Times New Roman"/>
                <w:sz w:val="24"/>
                <w:szCs w:val="24"/>
              </w:rPr>
            </w:pPr>
            <w:r w:rsidRPr="00C2523C">
              <w:rPr>
                <w:rFonts w:eastAsia="Times New Roman"/>
                <w:sz w:val="24"/>
                <w:szCs w:val="24"/>
              </w:rPr>
              <w:t>okresach przechowywania oraz mających zastosowanie zabezpieczeniach z uwzględnieniem charakteru, zakresu i celów przetwarzania lub kategorii przetwarzania;</w:t>
            </w:r>
          </w:p>
          <w:p w14:paraId="4F0CBB92" w14:textId="77777777" w:rsidR="009961FC" w:rsidRPr="00C2523C" w:rsidRDefault="009961FC" w:rsidP="009961FC">
            <w:pPr>
              <w:pStyle w:val="Akapitzlist"/>
              <w:numPr>
                <w:ilvl w:val="0"/>
                <w:numId w:val="12"/>
              </w:numPr>
              <w:spacing w:after="120" w:line="240" w:lineRule="auto"/>
              <w:jc w:val="both"/>
              <w:rPr>
                <w:rFonts w:eastAsia="Times New Roman"/>
                <w:sz w:val="24"/>
                <w:szCs w:val="24"/>
              </w:rPr>
            </w:pPr>
            <w:r w:rsidRPr="00C2523C">
              <w:rPr>
                <w:rFonts w:eastAsia="Times New Roman"/>
                <w:sz w:val="24"/>
                <w:szCs w:val="24"/>
              </w:rPr>
              <w:t>ryzykach naruszenia praw lub wolności osoby, której dane dotyczą; oraz</w:t>
            </w:r>
          </w:p>
          <w:p w14:paraId="3684B26C" w14:textId="77777777" w:rsidR="009961FC" w:rsidRPr="00C2523C" w:rsidRDefault="009961FC" w:rsidP="009961FC">
            <w:pPr>
              <w:pStyle w:val="Akapitzlist"/>
              <w:numPr>
                <w:ilvl w:val="0"/>
                <w:numId w:val="12"/>
              </w:numPr>
              <w:spacing w:after="120" w:line="240" w:lineRule="auto"/>
              <w:jc w:val="both"/>
              <w:rPr>
                <w:rFonts w:eastAsia="Times New Roman"/>
                <w:sz w:val="24"/>
                <w:szCs w:val="24"/>
              </w:rPr>
            </w:pPr>
            <w:r w:rsidRPr="00C2523C">
              <w:rPr>
                <w:rFonts w:eastAsia="Times New Roman"/>
                <w:sz w:val="24"/>
                <w:szCs w:val="24"/>
              </w:rPr>
              <w:t>prawie osób, których dane dotyczą, do uzyskania informacji o ograniczeniach, o ile nie narusza to celu ograniczenia.</w:t>
            </w:r>
          </w:p>
          <w:p w14:paraId="1BBD9FAB" w14:textId="77777777" w:rsidR="009961FC" w:rsidRPr="00C2523C" w:rsidRDefault="009961FC" w:rsidP="009961FC">
            <w:pPr>
              <w:pStyle w:val="Akapitzlist"/>
              <w:spacing w:after="120" w:line="240" w:lineRule="auto"/>
              <w:ind w:left="0"/>
              <w:jc w:val="both"/>
              <w:rPr>
                <w:rFonts w:eastAsia="Times New Roman"/>
                <w:sz w:val="24"/>
                <w:szCs w:val="24"/>
              </w:rPr>
            </w:pPr>
            <w:r w:rsidRPr="00C2523C">
              <w:rPr>
                <w:rFonts w:eastAsia="Times New Roman"/>
                <w:sz w:val="24"/>
                <w:szCs w:val="24"/>
              </w:rPr>
              <w:t xml:space="preserve">Niezbędne jest więc wykazanie przez projektodawcę, że wymogi te zostaną spełnione oraz wskazanie, w jaki sposób. Uzasadnienie projektu ustawy nie zawiera wyjaśnień w tym zakresie. </w:t>
            </w:r>
          </w:p>
          <w:p w14:paraId="54A33312" w14:textId="77777777" w:rsidR="009961FC" w:rsidRPr="00C2523C" w:rsidRDefault="009961FC" w:rsidP="009961FC">
            <w:pPr>
              <w:pStyle w:val="Akapitzlist"/>
              <w:spacing w:after="120" w:line="240" w:lineRule="auto"/>
              <w:ind w:left="0"/>
              <w:contextualSpacing w:val="0"/>
              <w:jc w:val="both"/>
              <w:rPr>
                <w:rFonts w:eastAsia="Times New Roman"/>
                <w:sz w:val="24"/>
                <w:szCs w:val="24"/>
              </w:rPr>
            </w:pPr>
          </w:p>
          <w:p w14:paraId="721C73CE" w14:textId="77777777" w:rsidR="009961FC" w:rsidRPr="00C2523C" w:rsidRDefault="009961FC">
            <w:pPr>
              <w:autoSpaceDE w:val="0"/>
              <w:autoSpaceDN w:val="0"/>
              <w:adjustRightInd w:val="0"/>
              <w:rPr>
                <w:rFonts w:ascii="TimesNewRomanPSMT" w:hAnsi="TimesNewRomanPSMT" w:cs="TimesNewRomanPSMT"/>
                <w:sz w:val="24"/>
                <w:szCs w:val="24"/>
              </w:rPr>
            </w:pPr>
          </w:p>
        </w:tc>
        <w:tc>
          <w:tcPr>
            <w:tcW w:w="3509" w:type="dxa"/>
          </w:tcPr>
          <w:p w14:paraId="57453159" w14:textId="25D1CBEB" w:rsidR="009961FC" w:rsidRPr="00C2523C" w:rsidRDefault="3E504C65">
            <w:pPr>
              <w:rPr>
                <w:rFonts w:ascii="Calibri" w:eastAsia="Calibri" w:hAnsi="Calibri" w:cs="Calibri"/>
                <w:b/>
                <w:bCs/>
                <w:sz w:val="24"/>
                <w:szCs w:val="24"/>
              </w:rPr>
            </w:pPr>
            <w:r w:rsidRPr="00C2523C">
              <w:rPr>
                <w:rFonts w:ascii="Calibri" w:eastAsia="Calibri" w:hAnsi="Calibri" w:cs="Calibri"/>
                <w:b/>
                <w:bCs/>
                <w:sz w:val="24"/>
                <w:szCs w:val="24"/>
              </w:rPr>
              <w:lastRenderedPageBreak/>
              <w:t xml:space="preserve">Uwaga </w:t>
            </w:r>
            <w:r w:rsidR="002D0851" w:rsidRPr="00C2523C">
              <w:rPr>
                <w:rFonts w:ascii="Calibri" w:eastAsia="Calibri" w:hAnsi="Calibri" w:cs="Calibri"/>
                <w:b/>
                <w:bCs/>
                <w:sz w:val="24"/>
                <w:szCs w:val="24"/>
              </w:rPr>
              <w:t>uwzględniona</w:t>
            </w:r>
          </w:p>
          <w:p w14:paraId="489387EB" w14:textId="537B5E9E" w:rsidR="009961FC" w:rsidRPr="00C2523C" w:rsidRDefault="3E504C65">
            <w:pPr>
              <w:rPr>
                <w:rFonts w:ascii="Calibri" w:eastAsia="Calibri" w:hAnsi="Calibri" w:cs="Calibri"/>
                <w:sz w:val="24"/>
                <w:szCs w:val="24"/>
              </w:rPr>
            </w:pPr>
            <w:r w:rsidRPr="00C2523C">
              <w:rPr>
                <w:rFonts w:ascii="Calibri" w:eastAsia="Calibri" w:hAnsi="Calibri" w:cs="Calibri"/>
                <w:sz w:val="24"/>
                <w:szCs w:val="24"/>
              </w:rPr>
              <w:t>Proponuje się rozbudowanie uzasadnienia o poruszone kwestie dotyczące spełnienia warunków z art. 23 ust. 1 i 2 RODO.</w:t>
            </w:r>
          </w:p>
        </w:tc>
      </w:tr>
      <w:tr w:rsidR="00C2523C" w:rsidRPr="00C2523C" w14:paraId="7B2B4802" w14:textId="77777777" w:rsidTr="002F0E46">
        <w:tc>
          <w:tcPr>
            <w:tcW w:w="750" w:type="dxa"/>
          </w:tcPr>
          <w:p w14:paraId="68064DA6"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54DDD5AF" w14:textId="65258FDC"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5D5B887E" w14:textId="5A98871A" w:rsidR="00FD3498" w:rsidRPr="00C2523C" w:rsidRDefault="00FD3498" w:rsidP="00277373">
            <w:pPr>
              <w:rPr>
                <w:rFonts w:cstheme="minorHAnsi"/>
                <w:sz w:val="24"/>
                <w:szCs w:val="24"/>
              </w:rPr>
            </w:pPr>
            <w:r w:rsidRPr="00C2523C">
              <w:rPr>
                <w:rFonts w:cstheme="minorHAnsi"/>
                <w:sz w:val="24"/>
                <w:szCs w:val="24"/>
              </w:rPr>
              <w:t xml:space="preserve">Art. 15 </w:t>
            </w:r>
          </w:p>
        </w:tc>
        <w:tc>
          <w:tcPr>
            <w:tcW w:w="7229" w:type="dxa"/>
          </w:tcPr>
          <w:p w14:paraId="1B903586" w14:textId="38144A31" w:rsidR="00FD3498" w:rsidRPr="00C2523C" w:rsidRDefault="00FD3498" w:rsidP="00847111">
            <w:pPr>
              <w:autoSpaceDE w:val="0"/>
              <w:autoSpaceDN w:val="0"/>
              <w:adjustRightInd w:val="0"/>
              <w:rPr>
                <w:rFonts w:cstheme="minorHAnsi"/>
                <w:sz w:val="24"/>
                <w:szCs w:val="24"/>
              </w:rPr>
            </w:pPr>
            <w:r w:rsidRPr="00C2523C">
              <w:rPr>
                <w:rFonts w:cstheme="minorHAnsi"/>
                <w:sz w:val="24"/>
                <w:szCs w:val="24"/>
              </w:rPr>
              <w:t>Wadliwa techniczne jest konstrukcja przepisów o karach pieniężnych</w:t>
            </w:r>
            <w:r w:rsidR="00BA54DC" w:rsidRPr="00C2523C">
              <w:rPr>
                <w:rFonts w:cstheme="minorHAnsi"/>
                <w:b/>
                <w:bCs/>
                <w:sz w:val="24"/>
                <w:szCs w:val="24"/>
              </w:rPr>
              <w:t xml:space="preserve"> </w:t>
            </w:r>
            <w:r w:rsidRPr="00C2523C">
              <w:rPr>
                <w:rFonts w:cstheme="minorHAnsi"/>
                <w:b/>
                <w:bCs/>
                <w:sz w:val="24"/>
                <w:szCs w:val="24"/>
              </w:rPr>
              <w:t>projektowanych w art. 15</w:t>
            </w:r>
            <w:r w:rsidRPr="00C2523C">
              <w:rPr>
                <w:rFonts w:cstheme="minorHAnsi"/>
                <w:sz w:val="24"/>
                <w:szCs w:val="24"/>
              </w:rPr>
              <w:t xml:space="preserve">. Przepisy te nie spełniają elementarnych wymagań § 81a </w:t>
            </w:r>
            <w:r w:rsidRPr="00C2523C">
              <w:rPr>
                <w:rFonts w:cstheme="minorHAnsi"/>
                <w:i/>
                <w:iCs/>
                <w:sz w:val="24"/>
                <w:szCs w:val="24"/>
              </w:rPr>
              <w:t>Zasad</w:t>
            </w:r>
            <w:r w:rsidR="00847111" w:rsidRPr="00C2523C">
              <w:rPr>
                <w:rFonts w:cstheme="minorHAnsi"/>
                <w:i/>
                <w:iCs/>
                <w:sz w:val="24"/>
                <w:szCs w:val="24"/>
              </w:rPr>
              <w:t xml:space="preserve"> </w:t>
            </w:r>
            <w:r w:rsidRPr="00C2523C">
              <w:rPr>
                <w:rFonts w:cstheme="minorHAnsi"/>
                <w:i/>
                <w:iCs/>
                <w:sz w:val="24"/>
                <w:szCs w:val="24"/>
              </w:rPr>
              <w:t xml:space="preserve">techniki prawodawczej. </w:t>
            </w:r>
            <w:r w:rsidRPr="00C2523C">
              <w:rPr>
                <w:rFonts w:cstheme="minorHAnsi"/>
                <w:sz w:val="24"/>
                <w:szCs w:val="24"/>
              </w:rPr>
              <w:t>W przepisach o karach pieniężnych należy: dokładnie określić hipotezę</w:t>
            </w:r>
            <w:r w:rsidR="00BA54DC" w:rsidRPr="00C2523C">
              <w:rPr>
                <w:rFonts w:cstheme="minorHAnsi"/>
                <w:sz w:val="24"/>
                <w:szCs w:val="24"/>
              </w:rPr>
              <w:t xml:space="preserve"> </w:t>
            </w:r>
            <w:r w:rsidRPr="00C2523C">
              <w:rPr>
                <w:rFonts w:cstheme="minorHAnsi"/>
                <w:sz w:val="24"/>
                <w:szCs w:val="24"/>
              </w:rPr>
              <w:t>normy sankcjonowanej (wskazać kto i w jakich okolicznościach może zostać ukarany daną karą</w:t>
            </w:r>
            <w:r w:rsidR="00BA54DC" w:rsidRPr="00C2523C">
              <w:rPr>
                <w:rFonts w:cstheme="minorHAnsi"/>
                <w:sz w:val="24"/>
                <w:szCs w:val="24"/>
              </w:rPr>
              <w:t xml:space="preserve"> </w:t>
            </w:r>
            <w:r w:rsidRPr="00C2523C">
              <w:rPr>
                <w:rFonts w:cstheme="minorHAnsi"/>
                <w:sz w:val="24"/>
                <w:szCs w:val="24"/>
              </w:rPr>
              <w:t xml:space="preserve">pieniężną), określić czyn zabroniony, określić podmiot uprawniony do </w:t>
            </w:r>
            <w:r w:rsidRPr="00C2523C">
              <w:rPr>
                <w:rFonts w:cstheme="minorHAnsi"/>
                <w:sz w:val="24"/>
                <w:szCs w:val="24"/>
              </w:rPr>
              <w:lastRenderedPageBreak/>
              <w:t>nałożenia kary oraz</w:t>
            </w:r>
            <w:r w:rsidR="00BA54DC" w:rsidRPr="00C2523C">
              <w:rPr>
                <w:rFonts w:cstheme="minorHAnsi"/>
                <w:sz w:val="24"/>
                <w:szCs w:val="24"/>
              </w:rPr>
              <w:t xml:space="preserve"> </w:t>
            </w:r>
            <w:r w:rsidRPr="00C2523C">
              <w:rPr>
                <w:rFonts w:cstheme="minorHAnsi"/>
                <w:sz w:val="24"/>
                <w:szCs w:val="24"/>
              </w:rPr>
              <w:t>procedurę jej nakładania, jak również określić sankcję. Projektowane rozwiązania nie</w:t>
            </w:r>
            <w:r w:rsidR="00BA54DC" w:rsidRPr="00C2523C">
              <w:rPr>
                <w:rFonts w:cstheme="minorHAnsi"/>
                <w:sz w:val="24"/>
                <w:szCs w:val="24"/>
              </w:rPr>
              <w:t xml:space="preserve"> </w:t>
            </w:r>
            <w:r w:rsidRPr="00C2523C">
              <w:rPr>
                <w:rFonts w:cstheme="minorHAnsi"/>
                <w:sz w:val="24"/>
                <w:szCs w:val="24"/>
              </w:rPr>
              <w:t>uwzględniają też tego, że podstawowym aktem prawnym zawierającym regulację w zakresie</w:t>
            </w:r>
            <w:r w:rsidR="00BA54DC" w:rsidRPr="00C2523C">
              <w:rPr>
                <w:rFonts w:cstheme="minorHAnsi"/>
                <w:sz w:val="24"/>
                <w:szCs w:val="24"/>
              </w:rPr>
              <w:t xml:space="preserve"> </w:t>
            </w:r>
            <w:r w:rsidRPr="00C2523C">
              <w:rPr>
                <w:rFonts w:cstheme="minorHAnsi"/>
                <w:sz w:val="24"/>
                <w:szCs w:val="24"/>
              </w:rPr>
              <w:t xml:space="preserve">administracyjnych kar pieniężnych jest ustawa z dnia 14 czerwca 1960 r. – </w:t>
            </w:r>
            <w:r w:rsidRPr="00C2523C">
              <w:rPr>
                <w:rFonts w:cstheme="minorHAnsi"/>
                <w:i/>
                <w:iCs/>
                <w:sz w:val="24"/>
                <w:szCs w:val="24"/>
              </w:rPr>
              <w:t>Kodeks postępowania</w:t>
            </w:r>
            <w:r w:rsidR="00BA54DC" w:rsidRPr="00C2523C">
              <w:rPr>
                <w:rFonts w:cstheme="minorHAnsi"/>
                <w:i/>
                <w:iCs/>
                <w:sz w:val="24"/>
                <w:szCs w:val="24"/>
              </w:rPr>
              <w:t xml:space="preserve"> </w:t>
            </w:r>
            <w:r w:rsidRPr="00C2523C">
              <w:rPr>
                <w:rFonts w:cstheme="minorHAnsi"/>
                <w:i/>
                <w:iCs/>
                <w:sz w:val="24"/>
                <w:szCs w:val="24"/>
              </w:rPr>
              <w:t xml:space="preserve">administracyjnego </w:t>
            </w:r>
            <w:r w:rsidRPr="00C2523C">
              <w:rPr>
                <w:rFonts w:cstheme="minorHAnsi"/>
                <w:sz w:val="24"/>
                <w:szCs w:val="24"/>
              </w:rPr>
              <w:t>(Dz. U. z 2021 r. poz. 735, z późn. zm.).</w:t>
            </w:r>
          </w:p>
        </w:tc>
        <w:tc>
          <w:tcPr>
            <w:tcW w:w="3509" w:type="dxa"/>
          </w:tcPr>
          <w:p w14:paraId="066210CD" w14:textId="30763940" w:rsidR="00FD3498" w:rsidRPr="00C2523C" w:rsidRDefault="00044E5E" w:rsidP="00277373">
            <w:pPr>
              <w:rPr>
                <w:rFonts w:cstheme="minorHAnsi"/>
                <w:b/>
                <w:sz w:val="24"/>
                <w:szCs w:val="24"/>
              </w:rPr>
            </w:pPr>
            <w:r w:rsidRPr="00C2523C">
              <w:rPr>
                <w:rFonts w:cstheme="minorHAnsi"/>
                <w:b/>
                <w:sz w:val="24"/>
                <w:szCs w:val="24"/>
              </w:rPr>
              <w:lastRenderedPageBreak/>
              <w:t xml:space="preserve">Uwaga uwzględniona poprzez doprecyzowanie przepisów </w:t>
            </w:r>
            <w:r w:rsidR="00A94D70" w:rsidRPr="00C2523C">
              <w:rPr>
                <w:rFonts w:cstheme="minorHAnsi"/>
                <w:b/>
                <w:sz w:val="24"/>
                <w:szCs w:val="24"/>
              </w:rPr>
              <w:t>o karach pieni</w:t>
            </w:r>
            <w:r w:rsidR="000A7CDE" w:rsidRPr="00C2523C">
              <w:rPr>
                <w:rFonts w:cstheme="minorHAnsi"/>
                <w:b/>
                <w:sz w:val="24"/>
                <w:szCs w:val="24"/>
              </w:rPr>
              <w:t>ę</w:t>
            </w:r>
            <w:r w:rsidR="00A94D70" w:rsidRPr="00C2523C">
              <w:rPr>
                <w:rFonts w:cstheme="minorHAnsi"/>
                <w:b/>
                <w:sz w:val="24"/>
                <w:szCs w:val="24"/>
              </w:rPr>
              <w:t>żnych</w:t>
            </w:r>
          </w:p>
        </w:tc>
      </w:tr>
      <w:tr w:rsidR="00C2523C" w:rsidRPr="00C2523C" w14:paraId="070CB2DB" w14:textId="77777777" w:rsidTr="002F0E46">
        <w:tc>
          <w:tcPr>
            <w:tcW w:w="750" w:type="dxa"/>
          </w:tcPr>
          <w:p w14:paraId="501E036D"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2A7639C7" w14:textId="7353ACCA"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14933E38" w14:textId="4A5F846B" w:rsidR="00FD3498" w:rsidRPr="00C2523C" w:rsidRDefault="00FD3498" w:rsidP="00277373">
            <w:pPr>
              <w:rPr>
                <w:rFonts w:cstheme="minorHAnsi"/>
                <w:sz w:val="24"/>
                <w:szCs w:val="24"/>
              </w:rPr>
            </w:pPr>
            <w:r w:rsidRPr="00C2523C">
              <w:rPr>
                <w:rFonts w:cstheme="minorHAnsi"/>
                <w:sz w:val="24"/>
                <w:szCs w:val="24"/>
              </w:rPr>
              <w:t>Art. 15 ust. 5</w:t>
            </w:r>
          </w:p>
        </w:tc>
        <w:tc>
          <w:tcPr>
            <w:tcW w:w="7229" w:type="dxa"/>
          </w:tcPr>
          <w:p w14:paraId="6FC6A349" w14:textId="40EEB6B9" w:rsidR="00FD3498" w:rsidRPr="00C2523C" w:rsidRDefault="00FD3498" w:rsidP="00847111">
            <w:pPr>
              <w:autoSpaceDE w:val="0"/>
              <w:autoSpaceDN w:val="0"/>
              <w:adjustRightInd w:val="0"/>
              <w:rPr>
                <w:rFonts w:cstheme="minorHAnsi"/>
                <w:sz w:val="24"/>
                <w:szCs w:val="24"/>
              </w:rPr>
            </w:pPr>
            <w:r w:rsidRPr="00C2523C">
              <w:rPr>
                <w:rFonts w:cstheme="minorHAnsi"/>
                <w:sz w:val="24"/>
                <w:szCs w:val="24"/>
              </w:rPr>
              <w:t>W zakresie regulacji dotyczących kar pieniężnych zwrócić należy również uwagę na</w:t>
            </w:r>
            <w:r w:rsidR="00044E5E" w:rsidRPr="00C2523C">
              <w:rPr>
                <w:rFonts w:cstheme="minorHAnsi"/>
                <w:sz w:val="24"/>
                <w:szCs w:val="24"/>
              </w:rPr>
              <w:t xml:space="preserve"> </w:t>
            </w:r>
            <w:r w:rsidRPr="00C2523C">
              <w:rPr>
                <w:rFonts w:cstheme="minorHAnsi"/>
                <w:sz w:val="24"/>
                <w:szCs w:val="24"/>
              </w:rPr>
              <w:t xml:space="preserve">projektowany </w:t>
            </w:r>
            <w:r w:rsidRPr="00C2523C">
              <w:rPr>
                <w:rFonts w:cstheme="minorHAnsi"/>
                <w:b/>
                <w:bCs/>
                <w:sz w:val="24"/>
                <w:szCs w:val="24"/>
              </w:rPr>
              <w:t>art. 15 ust. 5</w:t>
            </w:r>
            <w:r w:rsidRPr="00C2523C">
              <w:rPr>
                <w:rFonts w:cstheme="minorHAnsi"/>
                <w:sz w:val="24"/>
                <w:szCs w:val="24"/>
              </w:rPr>
              <w:t>, zgodnie z którym Prezes UKE będzie mógł nakładać</w:t>
            </w:r>
            <w:r w:rsidR="00044E5E" w:rsidRPr="00C2523C">
              <w:rPr>
                <w:rFonts w:cstheme="minorHAnsi"/>
                <w:sz w:val="24"/>
                <w:szCs w:val="24"/>
              </w:rPr>
              <w:t xml:space="preserve"> </w:t>
            </w:r>
            <w:r w:rsidRPr="00C2523C">
              <w:rPr>
                <w:rFonts w:cstheme="minorHAnsi"/>
                <w:sz w:val="24"/>
                <w:szCs w:val="24"/>
              </w:rPr>
              <w:t>administracyjne kary pieniężne na kierownika podmiotu publicznego. Podmiotem publicznym,</w:t>
            </w:r>
            <w:r w:rsidR="000A7CDE" w:rsidRPr="00C2523C">
              <w:rPr>
                <w:rFonts w:cstheme="minorHAnsi"/>
                <w:sz w:val="24"/>
                <w:szCs w:val="24"/>
              </w:rPr>
              <w:t xml:space="preserve"> </w:t>
            </w:r>
            <w:r w:rsidRPr="00C2523C">
              <w:rPr>
                <w:rFonts w:cstheme="minorHAnsi"/>
                <w:sz w:val="24"/>
                <w:szCs w:val="24"/>
              </w:rPr>
              <w:t>zgodnie z definicją zawartą w art. 2 pkt 6 projektu ustawy, jest podmiot, o którym mowa</w:t>
            </w:r>
            <w:r w:rsidR="00044E5E" w:rsidRPr="00C2523C">
              <w:rPr>
                <w:rFonts w:cstheme="minorHAnsi"/>
                <w:sz w:val="24"/>
                <w:szCs w:val="24"/>
              </w:rPr>
              <w:t xml:space="preserve"> </w:t>
            </w:r>
            <w:r w:rsidRPr="00C2523C">
              <w:rPr>
                <w:rFonts w:cstheme="minorHAnsi"/>
                <w:sz w:val="24"/>
                <w:szCs w:val="24"/>
              </w:rPr>
              <w:t xml:space="preserve">w art. 4 pkt 7-15 ustawy z dnia 5 lipca 2018 r. </w:t>
            </w:r>
            <w:r w:rsidRPr="00C2523C">
              <w:rPr>
                <w:rFonts w:cstheme="minorHAnsi"/>
                <w:i/>
                <w:iCs/>
                <w:sz w:val="24"/>
                <w:szCs w:val="24"/>
              </w:rPr>
              <w:t>o krajowym systemie cyberbezpieczeństwa</w:t>
            </w:r>
            <w:r w:rsidR="00847111" w:rsidRPr="00C2523C">
              <w:rPr>
                <w:rFonts w:cstheme="minorHAnsi"/>
                <w:i/>
                <w:iCs/>
                <w:sz w:val="24"/>
                <w:szCs w:val="24"/>
              </w:rPr>
              <w:t xml:space="preserve"> </w:t>
            </w:r>
            <w:r w:rsidRPr="00C2523C">
              <w:rPr>
                <w:rFonts w:cstheme="minorHAnsi"/>
                <w:sz w:val="24"/>
                <w:szCs w:val="24"/>
              </w:rPr>
              <w:t>(Dz. U. z 2020 r. poz. 1369, z późn. zm.).</w:t>
            </w:r>
            <w:r w:rsidR="00847111" w:rsidRPr="00C2523C">
              <w:rPr>
                <w:rFonts w:cstheme="minorHAnsi"/>
                <w:sz w:val="24"/>
                <w:szCs w:val="24"/>
              </w:rPr>
              <w:t xml:space="preserve"> </w:t>
            </w:r>
            <w:r w:rsidRPr="00C2523C">
              <w:rPr>
                <w:rFonts w:cstheme="minorHAnsi"/>
                <w:sz w:val="24"/>
                <w:szCs w:val="24"/>
              </w:rPr>
              <w:t>Wskazania wymaga, że k.p.a. normuje m.in. postępowanie przed organami administracji</w:t>
            </w:r>
            <w:r w:rsidR="002C4076" w:rsidRPr="00C2523C">
              <w:rPr>
                <w:rFonts w:cstheme="minorHAnsi"/>
                <w:sz w:val="24"/>
                <w:szCs w:val="24"/>
              </w:rPr>
              <w:t xml:space="preserve"> </w:t>
            </w:r>
            <w:r w:rsidRPr="00C2523C">
              <w:rPr>
                <w:rFonts w:cstheme="minorHAnsi"/>
                <w:sz w:val="24"/>
                <w:szCs w:val="24"/>
              </w:rPr>
              <w:t>publicznej w należących do właściwości tych organów sprawach indywidualnych rozstrzyganych</w:t>
            </w:r>
            <w:r w:rsidR="00044E5E" w:rsidRPr="00C2523C">
              <w:rPr>
                <w:rFonts w:cstheme="minorHAnsi"/>
                <w:sz w:val="24"/>
                <w:szCs w:val="24"/>
              </w:rPr>
              <w:t xml:space="preserve"> </w:t>
            </w:r>
            <w:r w:rsidRPr="00C2523C">
              <w:rPr>
                <w:rFonts w:cstheme="minorHAnsi"/>
                <w:sz w:val="24"/>
                <w:szCs w:val="24"/>
              </w:rPr>
              <w:t>w drodze decyzji administracyjnych albo załatwianych milcząco oraz nakładanie</w:t>
            </w:r>
            <w:r w:rsidR="002C4076" w:rsidRPr="00C2523C">
              <w:rPr>
                <w:rFonts w:cstheme="minorHAnsi"/>
                <w:sz w:val="24"/>
                <w:szCs w:val="24"/>
              </w:rPr>
              <w:t xml:space="preserve"> </w:t>
            </w:r>
            <w:r w:rsidRPr="00C2523C">
              <w:rPr>
                <w:rFonts w:cstheme="minorHAnsi"/>
                <w:sz w:val="24"/>
                <w:szCs w:val="24"/>
              </w:rPr>
              <w:t>lub wymierzanie administracyjnych kar pieniężnych lub udzielanie ulg w ich wykonaniu</w:t>
            </w:r>
            <w:r w:rsidR="00044E5E" w:rsidRPr="00C2523C">
              <w:rPr>
                <w:rFonts w:cstheme="minorHAnsi"/>
                <w:sz w:val="24"/>
                <w:szCs w:val="24"/>
              </w:rPr>
              <w:t xml:space="preserve"> </w:t>
            </w:r>
            <w:r w:rsidRPr="00C2523C">
              <w:rPr>
                <w:rFonts w:cstheme="minorHAnsi"/>
                <w:sz w:val="24"/>
                <w:szCs w:val="24"/>
              </w:rPr>
              <w:t>(art. 1 pkt 1 i 5 k.p.a.). Pomiotami mogącymi być stroną postępowania administracyjnego –</w:t>
            </w:r>
            <w:r w:rsidR="002C4076" w:rsidRPr="00C2523C">
              <w:rPr>
                <w:rFonts w:cstheme="minorHAnsi"/>
                <w:sz w:val="24"/>
                <w:szCs w:val="24"/>
              </w:rPr>
              <w:t xml:space="preserve"> </w:t>
            </w:r>
            <w:r w:rsidRPr="00C2523C">
              <w:rPr>
                <w:rFonts w:cstheme="minorHAnsi"/>
                <w:sz w:val="24"/>
                <w:szCs w:val="24"/>
              </w:rPr>
              <w:t>stosownie do art. 29 k.p.a. – są osoby fizyczne i osoby prawne, a gdy chodzi o państwowe</w:t>
            </w:r>
            <w:r w:rsidR="002C4076" w:rsidRPr="00C2523C">
              <w:rPr>
                <w:rFonts w:cstheme="minorHAnsi"/>
                <w:sz w:val="24"/>
                <w:szCs w:val="24"/>
              </w:rPr>
              <w:t xml:space="preserve"> </w:t>
            </w:r>
            <w:r w:rsidRPr="00C2523C">
              <w:rPr>
                <w:rFonts w:cstheme="minorHAnsi"/>
                <w:sz w:val="24"/>
                <w:szCs w:val="24"/>
              </w:rPr>
              <w:t>i samorządowe jednostki organizacyjne i organizacje społeczne – również jednostki</w:t>
            </w:r>
            <w:r w:rsidR="002C4076" w:rsidRPr="00C2523C">
              <w:rPr>
                <w:rFonts w:cstheme="minorHAnsi"/>
                <w:sz w:val="24"/>
                <w:szCs w:val="24"/>
              </w:rPr>
              <w:t xml:space="preserve"> </w:t>
            </w:r>
            <w:r w:rsidRPr="00C2523C">
              <w:rPr>
                <w:rFonts w:cstheme="minorHAnsi"/>
                <w:sz w:val="24"/>
                <w:szCs w:val="24"/>
              </w:rPr>
              <w:t xml:space="preserve">nieposiadające osobowości prawnej. Zgodnie natomiast z art. 189b k.p.a. </w:t>
            </w:r>
            <w:r w:rsidRPr="00C2523C">
              <w:rPr>
                <w:rFonts w:cstheme="minorHAnsi"/>
                <w:i/>
                <w:iCs/>
                <w:sz w:val="24"/>
                <w:szCs w:val="24"/>
              </w:rPr>
              <w:t>przez administracyjną</w:t>
            </w:r>
            <w:r w:rsidR="002C4076" w:rsidRPr="00C2523C">
              <w:rPr>
                <w:rFonts w:cstheme="minorHAnsi"/>
                <w:i/>
                <w:iCs/>
                <w:sz w:val="24"/>
                <w:szCs w:val="24"/>
              </w:rPr>
              <w:t xml:space="preserve"> </w:t>
            </w:r>
            <w:r w:rsidRPr="00C2523C">
              <w:rPr>
                <w:rFonts w:cstheme="minorHAnsi"/>
                <w:i/>
                <w:iCs/>
                <w:sz w:val="24"/>
                <w:szCs w:val="24"/>
              </w:rPr>
              <w:t>karę pieniężną rozumie się określoną w ustawie sankcję o charakterze pieniężnym, nakładaną</w:t>
            </w:r>
            <w:r w:rsidR="002C4076" w:rsidRPr="00C2523C">
              <w:rPr>
                <w:rFonts w:cstheme="minorHAnsi"/>
                <w:i/>
                <w:iCs/>
                <w:sz w:val="24"/>
                <w:szCs w:val="24"/>
              </w:rPr>
              <w:t xml:space="preserve"> </w:t>
            </w:r>
            <w:r w:rsidRPr="00C2523C">
              <w:rPr>
                <w:rFonts w:cstheme="minorHAnsi"/>
                <w:i/>
                <w:iCs/>
                <w:sz w:val="24"/>
                <w:szCs w:val="24"/>
              </w:rPr>
              <w:t>przez organ administracji publicznej, w drodze decyzji, w następstwie naruszenia prawa</w:t>
            </w:r>
            <w:r w:rsidR="002C4076" w:rsidRPr="00C2523C">
              <w:rPr>
                <w:rFonts w:cstheme="minorHAnsi"/>
                <w:i/>
                <w:iCs/>
                <w:sz w:val="24"/>
                <w:szCs w:val="24"/>
              </w:rPr>
              <w:t xml:space="preserve"> </w:t>
            </w:r>
            <w:r w:rsidRPr="00C2523C">
              <w:rPr>
                <w:rFonts w:cstheme="minorHAnsi"/>
                <w:i/>
                <w:iCs/>
                <w:sz w:val="24"/>
                <w:szCs w:val="24"/>
              </w:rPr>
              <w:t>polegającego na niedopełnieniu obowiązku albo naruszeniu zakazu ciążącego na osobie</w:t>
            </w:r>
            <w:r w:rsidR="002C4076" w:rsidRPr="00C2523C">
              <w:rPr>
                <w:rFonts w:cstheme="minorHAnsi"/>
                <w:i/>
                <w:iCs/>
                <w:sz w:val="24"/>
                <w:szCs w:val="24"/>
              </w:rPr>
              <w:t xml:space="preserve"> </w:t>
            </w:r>
            <w:r w:rsidRPr="00C2523C">
              <w:rPr>
                <w:rFonts w:cstheme="minorHAnsi"/>
                <w:i/>
                <w:iCs/>
                <w:sz w:val="24"/>
                <w:szCs w:val="24"/>
              </w:rPr>
              <w:t>fizycznej, osobie prawnej albo jednostce organizacyjnej nieposiadającej osobowości prawnej.</w:t>
            </w:r>
            <w:r w:rsidR="00847111" w:rsidRPr="00C2523C">
              <w:rPr>
                <w:rFonts w:cstheme="minorHAnsi"/>
                <w:i/>
                <w:iCs/>
                <w:sz w:val="24"/>
                <w:szCs w:val="24"/>
              </w:rPr>
              <w:t xml:space="preserve"> </w:t>
            </w:r>
            <w:r w:rsidRPr="00C2523C">
              <w:rPr>
                <w:rFonts w:cstheme="minorHAnsi"/>
                <w:sz w:val="24"/>
                <w:szCs w:val="24"/>
              </w:rPr>
              <w:t>Biorąc pod uwagę szeroki katalog podmiotów wchodzących w skład definicji podmiotu</w:t>
            </w:r>
            <w:r w:rsidR="002C4076" w:rsidRPr="00C2523C">
              <w:rPr>
                <w:rFonts w:cstheme="minorHAnsi"/>
                <w:sz w:val="24"/>
                <w:szCs w:val="24"/>
              </w:rPr>
              <w:t xml:space="preserve"> </w:t>
            </w:r>
            <w:r w:rsidRPr="00C2523C">
              <w:rPr>
                <w:rFonts w:cstheme="minorHAnsi"/>
                <w:sz w:val="24"/>
                <w:szCs w:val="24"/>
              </w:rPr>
              <w:lastRenderedPageBreak/>
              <w:t>publicznego, powinno dokonać się weryfikacji, czy na kierownika każdego podmiotu</w:t>
            </w:r>
            <w:r w:rsidR="002C4076" w:rsidRPr="00C2523C">
              <w:rPr>
                <w:rFonts w:cstheme="minorHAnsi"/>
                <w:sz w:val="24"/>
                <w:szCs w:val="24"/>
              </w:rPr>
              <w:t xml:space="preserve"> </w:t>
            </w:r>
            <w:r w:rsidRPr="00C2523C">
              <w:rPr>
                <w:rFonts w:cstheme="minorHAnsi"/>
                <w:sz w:val="24"/>
                <w:szCs w:val="24"/>
              </w:rPr>
              <w:t>publicznego będzie mogła zostać nałożona kara pieniężna. Zauważyć bowiem należy, że</w:t>
            </w:r>
            <w:r w:rsidR="002C4076" w:rsidRPr="00C2523C">
              <w:rPr>
                <w:rFonts w:cstheme="minorHAnsi"/>
                <w:sz w:val="24"/>
                <w:szCs w:val="24"/>
              </w:rPr>
              <w:t xml:space="preserve"> </w:t>
            </w:r>
            <w:r w:rsidRPr="00C2523C">
              <w:rPr>
                <w:rFonts w:cstheme="minorHAnsi"/>
                <w:sz w:val="24"/>
                <w:szCs w:val="24"/>
              </w:rPr>
              <w:t>zgodnie z definicją z art. 2 pkt 6 projektu ustawy podmiotami publicznymi będą m.in. organy</w:t>
            </w:r>
            <w:r w:rsidR="002C4076" w:rsidRPr="00C2523C">
              <w:rPr>
                <w:rFonts w:cstheme="minorHAnsi"/>
                <w:sz w:val="24"/>
                <w:szCs w:val="24"/>
              </w:rPr>
              <w:t xml:space="preserve"> </w:t>
            </w:r>
            <w:r w:rsidRPr="00C2523C">
              <w:rPr>
                <w:rFonts w:cstheme="minorHAnsi"/>
                <w:sz w:val="24"/>
                <w:szCs w:val="24"/>
              </w:rPr>
              <w:t>władzy publicznej, w tym organy administracji rządowej, organy kontroli państwowej i ochrony</w:t>
            </w:r>
            <w:r w:rsidR="002C4076" w:rsidRPr="00C2523C">
              <w:rPr>
                <w:rFonts w:cstheme="minorHAnsi"/>
                <w:sz w:val="24"/>
                <w:szCs w:val="24"/>
              </w:rPr>
              <w:t xml:space="preserve"> </w:t>
            </w:r>
            <w:r w:rsidRPr="00C2523C">
              <w:rPr>
                <w:rFonts w:cstheme="minorHAnsi"/>
                <w:sz w:val="24"/>
                <w:szCs w:val="24"/>
              </w:rPr>
              <w:t xml:space="preserve">prawa oraz sądy i trybunały (art. 9 pkt 1 ustawy </w:t>
            </w:r>
            <w:r w:rsidRPr="00C2523C">
              <w:rPr>
                <w:rFonts w:cstheme="minorHAnsi"/>
                <w:i/>
                <w:iCs/>
                <w:sz w:val="24"/>
                <w:szCs w:val="24"/>
              </w:rPr>
              <w:t>o finansach publicznych</w:t>
            </w:r>
            <w:r w:rsidRPr="00C2523C">
              <w:rPr>
                <w:rFonts w:cstheme="minorHAnsi"/>
                <w:sz w:val="24"/>
                <w:szCs w:val="24"/>
              </w:rPr>
              <w:t>). Nie jest natomiast</w:t>
            </w:r>
            <w:r w:rsidR="002C4076" w:rsidRPr="00C2523C">
              <w:rPr>
                <w:rFonts w:cstheme="minorHAnsi"/>
                <w:sz w:val="24"/>
                <w:szCs w:val="24"/>
              </w:rPr>
              <w:t xml:space="preserve"> </w:t>
            </w:r>
            <w:r w:rsidRPr="00C2523C">
              <w:rPr>
                <w:rFonts w:cstheme="minorHAnsi"/>
                <w:sz w:val="24"/>
                <w:szCs w:val="24"/>
              </w:rPr>
              <w:t>możliwe nałożenie kary pieniężnej na którykolwiek z wymienionych organów, ponieważ</w:t>
            </w:r>
            <w:r w:rsidR="00044E5E" w:rsidRPr="00C2523C">
              <w:rPr>
                <w:rFonts w:cstheme="minorHAnsi"/>
                <w:sz w:val="24"/>
                <w:szCs w:val="24"/>
              </w:rPr>
              <w:t xml:space="preserve"> </w:t>
            </w:r>
            <w:r w:rsidRPr="00C2523C">
              <w:rPr>
                <w:rFonts w:cstheme="minorHAnsi"/>
                <w:sz w:val="24"/>
                <w:szCs w:val="24"/>
              </w:rPr>
              <w:t>podmiotami obowiązku prawnego, w następstwie niedopełnienia którego nakładana jest</w:t>
            </w:r>
            <w:r w:rsidR="002C4076" w:rsidRPr="00C2523C">
              <w:rPr>
                <w:rFonts w:cstheme="minorHAnsi"/>
                <w:sz w:val="24"/>
                <w:szCs w:val="24"/>
              </w:rPr>
              <w:t xml:space="preserve"> </w:t>
            </w:r>
            <w:r w:rsidRPr="00C2523C">
              <w:rPr>
                <w:rFonts w:cstheme="minorHAnsi"/>
                <w:sz w:val="24"/>
                <w:szCs w:val="24"/>
              </w:rPr>
              <w:t>administracyjna kara pieniężna, mogą być osoby fizyczne, osoby prawne i jednostki</w:t>
            </w:r>
            <w:r w:rsidR="002C4076" w:rsidRPr="00C2523C">
              <w:rPr>
                <w:rFonts w:cstheme="minorHAnsi"/>
                <w:sz w:val="24"/>
                <w:szCs w:val="24"/>
              </w:rPr>
              <w:t xml:space="preserve"> </w:t>
            </w:r>
            <w:r w:rsidRPr="00C2523C">
              <w:rPr>
                <w:rFonts w:cstheme="minorHAnsi"/>
                <w:sz w:val="24"/>
                <w:szCs w:val="24"/>
              </w:rPr>
              <w:t>organizacyjne nieposiadające osobowości prawnej (por. podmioty będące stroną postępowania</w:t>
            </w:r>
            <w:r w:rsidR="002C4076" w:rsidRPr="00C2523C">
              <w:rPr>
                <w:rFonts w:cstheme="minorHAnsi"/>
                <w:sz w:val="24"/>
                <w:szCs w:val="24"/>
              </w:rPr>
              <w:t xml:space="preserve"> </w:t>
            </w:r>
            <w:r w:rsidRPr="00C2523C">
              <w:rPr>
                <w:rFonts w:cstheme="minorHAnsi"/>
                <w:sz w:val="24"/>
                <w:szCs w:val="24"/>
              </w:rPr>
              <w:t>administracyjnego – art. 29 k.p.a.).. Natomiast przepisy k.p.a. nie regulują postępowań</w:t>
            </w:r>
            <w:r w:rsidR="002C4076" w:rsidRPr="00C2523C">
              <w:rPr>
                <w:rFonts w:cstheme="minorHAnsi"/>
                <w:sz w:val="24"/>
                <w:szCs w:val="24"/>
              </w:rPr>
              <w:t xml:space="preserve"> </w:t>
            </w:r>
            <w:r w:rsidRPr="00C2523C">
              <w:rPr>
                <w:rFonts w:cstheme="minorHAnsi"/>
                <w:sz w:val="24"/>
                <w:szCs w:val="24"/>
              </w:rPr>
              <w:t>w sprawach wynikających z nadrzędności i podległości organizacyjnej w stosunkach między</w:t>
            </w:r>
            <w:r w:rsidR="002C4076" w:rsidRPr="00C2523C">
              <w:rPr>
                <w:rFonts w:cstheme="minorHAnsi"/>
                <w:sz w:val="24"/>
                <w:szCs w:val="24"/>
              </w:rPr>
              <w:t xml:space="preserve"> </w:t>
            </w:r>
            <w:r w:rsidRPr="00C2523C">
              <w:rPr>
                <w:rFonts w:cstheme="minorHAnsi"/>
                <w:sz w:val="24"/>
                <w:szCs w:val="24"/>
              </w:rPr>
              <w:t>organami państwowymi i innymi państwowymi jednostkami organizacyjnymi.</w:t>
            </w:r>
          </w:p>
        </w:tc>
        <w:tc>
          <w:tcPr>
            <w:tcW w:w="3509" w:type="dxa"/>
          </w:tcPr>
          <w:p w14:paraId="5AB7CB6F" w14:textId="77777777" w:rsidR="002C4076" w:rsidRPr="00C2523C" w:rsidRDefault="002C4076" w:rsidP="00277373">
            <w:pPr>
              <w:rPr>
                <w:rFonts w:cstheme="minorHAnsi"/>
                <w:b/>
                <w:sz w:val="24"/>
                <w:szCs w:val="24"/>
              </w:rPr>
            </w:pPr>
            <w:r w:rsidRPr="00C2523C">
              <w:rPr>
                <w:rFonts w:cstheme="minorHAnsi"/>
                <w:b/>
                <w:sz w:val="24"/>
                <w:szCs w:val="24"/>
              </w:rPr>
              <w:lastRenderedPageBreak/>
              <w:t>Uwaga wyjaśniona</w:t>
            </w:r>
          </w:p>
          <w:p w14:paraId="32732985" w14:textId="4B409E52" w:rsidR="00FD3498" w:rsidRPr="00C2523C" w:rsidRDefault="002C4076">
            <w:pPr>
              <w:rPr>
                <w:rFonts w:cstheme="minorHAnsi"/>
                <w:sz w:val="24"/>
                <w:szCs w:val="24"/>
              </w:rPr>
            </w:pPr>
            <w:r w:rsidRPr="00C2523C">
              <w:rPr>
                <w:rFonts w:cstheme="minorHAnsi"/>
                <w:sz w:val="24"/>
                <w:szCs w:val="24"/>
              </w:rPr>
              <w:t>Zamiarem projektodawcy jest możliwość nałożenia kary na kierownika podmiotu –piastuna funkcji za niedopełnienie obowiązku. Można sobie wyobrazić sytuację, w której pomimo nałożenia kary na podmiot publiczny, obowiązek nadal nie jest wykonywany. Dlatego powinna być możliwość ukarania kierownika tego podmiotu, co powinno wywołać odpowiedni efekt prewencyjny.</w:t>
            </w:r>
            <w:r w:rsidR="00873389" w:rsidRPr="00C2523C">
              <w:rPr>
                <w:rFonts w:cstheme="minorHAnsi"/>
                <w:sz w:val="24"/>
                <w:szCs w:val="24"/>
              </w:rPr>
              <w:t xml:space="preserve"> W przypadku organu administracji publicznej kara nie będzie nakładana na organ lecz na jego piastuna. </w:t>
            </w:r>
          </w:p>
        </w:tc>
      </w:tr>
      <w:tr w:rsidR="00C2523C" w:rsidRPr="00C2523C" w14:paraId="64F7F625" w14:textId="77777777" w:rsidTr="002F0E46">
        <w:tc>
          <w:tcPr>
            <w:tcW w:w="750" w:type="dxa"/>
          </w:tcPr>
          <w:p w14:paraId="0789CBDD" w14:textId="58045443"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4C5E812D" w14:textId="5A682449"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608E7569" w14:textId="2D08AD4D" w:rsidR="00FD3498" w:rsidRPr="00C2523C" w:rsidRDefault="00FD3498" w:rsidP="00277373">
            <w:pPr>
              <w:rPr>
                <w:rFonts w:cstheme="minorHAnsi"/>
                <w:sz w:val="24"/>
                <w:szCs w:val="24"/>
              </w:rPr>
            </w:pPr>
            <w:r w:rsidRPr="00C2523C">
              <w:rPr>
                <w:rFonts w:cstheme="minorHAnsi"/>
                <w:sz w:val="24"/>
                <w:szCs w:val="24"/>
              </w:rPr>
              <w:t>Art. 15 art. 16</w:t>
            </w:r>
          </w:p>
        </w:tc>
        <w:tc>
          <w:tcPr>
            <w:tcW w:w="7229" w:type="dxa"/>
          </w:tcPr>
          <w:p w14:paraId="543B23B8" w14:textId="2CCF1A14" w:rsidR="00FD3498" w:rsidRPr="00C2523C" w:rsidRDefault="00FD3498" w:rsidP="00847111">
            <w:pPr>
              <w:autoSpaceDE w:val="0"/>
              <w:autoSpaceDN w:val="0"/>
              <w:adjustRightInd w:val="0"/>
              <w:rPr>
                <w:rFonts w:cstheme="minorHAnsi"/>
                <w:sz w:val="24"/>
                <w:szCs w:val="24"/>
              </w:rPr>
            </w:pPr>
            <w:r w:rsidRPr="00C2523C">
              <w:rPr>
                <w:rFonts w:cstheme="minorHAnsi"/>
                <w:sz w:val="24"/>
                <w:szCs w:val="24"/>
              </w:rPr>
              <w:t>Niezależnie od wątpliwości dotyczących sposobu sformułowania przepisów karnych</w:t>
            </w:r>
            <w:r w:rsidR="002C4076" w:rsidRPr="00C2523C">
              <w:rPr>
                <w:rFonts w:cstheme="minorHAnsi"/>
                <w:sz w:val="24"/>
                <w:szCs w:val="24"/>
              </w:rPr>
              <w:t xml:space="preserve"> </w:t>
            </w:r>
            <w:r w:rsidRPr="00C2523C">
              <w:rPr>
                <w:rFonts w:cstheme="minorHAnsi"/>
                <w:sz w:val="24"/>
                <w:szCs w:val="24"/>
              </w:rPr>
              <w:t>w projektowanej ustawie, które ograniczają odpowiedzialność karną tylko do fragmentu</w:t>
            </w:r>
            <w:r w:rsidR="002C4076" w:rsidRPr="00C2523C">
              <w:rPr>
                <w:rFonts w:cstheme="minorHAnsi"/>
                <w:sz w:val="24"/>
                <w:szCs w:val="24"/>
              </w:rPr>
              <w:t xml:space="preserve"> </w:t>
            </w:r>
            <w:r w:rsidRPr="00C2523C">
              <w:rPr>
                <w:rFonts w:cstheme="minorHAnsi"/>
                <w:sz w:val="24"/>
                <w:szCs w:val="24"/>
              </w:rPr>
              <w:t>zdefiniowanych jako nadużycia w komunikacji elektronicznej działań, wątpliwości budzi</w:t>
            </w:r>
            <w:r w:rsidR="002C4076" w:rsidRPr="00C2523C">
              <w:rPr>
                <w:rFonts w:cstheme="minorHAnsi"/>
                <w:sz w:val="24"/>
                <w:szCs w:val="24"/>
              </w:rPr>
              <w:t xml:space="preserve"> </w:t>
            </w:r>
            <w:r w:rsidRPr="00C2523C">
              <w:rPr>
                <w:rFonts w:cstheme="minorHAnsi"/>
                <w:sz w:val="24"/>
                <w:szCs w:val="24"/>
              </w:rPr>
              <w:t xml:space="preserve">również wprowadzony </w:t>
            </w:r>
            <w:r w:rsidRPr="00C2523C">
              <w:rPr>
                <w:rFonts w:cstheme="minorHAnsi"/>
                <w:b/>
                <w:bCs/>
                <w:sz w:val="24"/>
                <w:szCs w:val="24"/>
              </w:rPr>
              <w:t>dualizm karalności tych samych zachowań</w:t>
            </w:r>
            <w:r w:rsidR="00847111" w:rsidRPr="00C2523C">
              <w:rPr>
                <w:rFonts w:cstheme="minorHAnsi"/>
                <w:b/>
                <w:bCs/>
                <w:sz w:val="24"/>
                <w:szCs w:val="24"/>
              </w:rPr>
              <w:t xml:space="preserve"> </w:t>
            </w:r>
            <w:r w:rsidRPr="00C2523C">
              <w:rPr>
                <w:rFonts w:cstheme="minorHAnsi"/>
                <w:b/>
                <w:bCs/>
                <w:sz w:val="24"/>
                <w:szCs w:val="24"/>
              </w:rPr>
              <w:t>– na mocy art. 15 ust. 1</w:t>
            </w:r>
            <w:r w:rsidR="002C4076" w:rsidRPr="00C2523C">
              <w:rPr>
                <w:rFonts w:cstheme="minorHAnsi"/>
                <w:b/>
                <w:bCs/>
                <w:sz w:val="24"/>
                <w:szCs w:val="24"/>
              </w:rPr>
              <w:t xml:space="preserve"> </w:t>
            </w:r>
            <w:r w:rsidRPr="00C2523C">
              <w:rPr>
                <w:rFonts w:cstheme="minorHAnsi"/>
                <w:b/>
                <w:bCs/>
                <w:sz w:val="24"/>
                <w:szCs w:val="24"/>
              </w:rPr>
              <w:t xml:space="preserve">karą administracyjną i na podstawie art. 16 – sankcją karną, </w:t>
            </w:r>
            <w:r w:rsidRPr="00C2523C">
              <w:rPr>
                <w:rFonts w:cstheme="minorHAnsi"/>
                <w:sz w:val="24"/>
                <w:szCs w:val="24"/>
              </w:rPr>
              <w:t>chociażby w kontekście</w:t>
            </w:r>
            <w:r w:rsidR="002C4076" w:rsidRPr="00C2523C">
              <w:rPr>
                <w:rFonts w:cstheme="minorHAnsi"/>
                <w:sz w:val="24"/>
                <w:szCs w:val="24"/>
              </w:rPr>
              <w:t xml:space="preserve"> </w:t>
            </w:r>
            <w:r w:rsidRPr="00C2523C">
              <w:rPr>
                <w:rFonts w:cstheme="minorHAnsi"/>
                <w:sz w:val="24"/>
                <w:szCs w:val="24"/>
              </w:rPr>
              <w:t xml:space="preserve">zasady </w:t>
            </w:r>
            <w:r w:rsidRPr="00C2523C">
              <w:rPr>
                <w:rFonts w:cstheme="minorHAnsi"/>
                <w:i/>
                <w:iCs/>
                <w:sz w:val="24"/>
                <w:szCs w:val="24"/>
              </w:rPr>
              <w:t>ne bis in idem</w:t>
            </w:r>
            <w:r w:rsidRPr="00C2523C">
              <w:rPr>
                <w:rFonts w:cstheme="minorHAnsi"/>
                <w:sz w:val="24"/>
                <w:szCs w:val="24"/>
              </w:rPr>
              <w:t>.</w:t>
            </w:r>
          </w:p>
        </w:tc>
        <w:tc>
          <w:tcPr>
            <w:tcW w:w="3509" w:type="dxa"/>
          </w:tcPr>
          <w:p w14:paraId="1253F294" w14:textId="5C22F69E" w:rsidR="00044E5E" w:rsidRPr="00C2523C" w:rsidRDefault="00044E5E" w:rsidP="00277373">
            <w:pPr>
              <w:rPr>
                <w:rFonts w:cstheme="minorHAnsi"/>
                <w:b/>
                <w:sz w:val="24"/>
                <w:szCs w:val="24"/>
              </w:rPr>
            </w:pPr>
            <w:r w:rsidRPr="00C2523C">
              <w:rPr>
                <w:rFonts w:cstheme="minorHAnsi"/>
                <w:b/>
                <w:sz w:val="24"/>
                <w:szCs w:val="24"/>
              </w:rPr>
              <w:t>Uwaga uwzględniona</w:t>
            </w:r>
          </w:p>
          <w:p w14:paraId="7BD63D3B" w14:textId="67B6A066" w:rsidR="00FD3498" w:rsidRPr="00C2523C" w:rsidRDefault="006433AE" w:rsidP="00277373">
            <w:pPr>
              <w:rPr>
                <w:rFonts w:cstheme="minorHAnsi"/>
                <w:sz w:val="24"/>
                <w:szCs w:val="24"/>
              </w:rPr>
            </w:pPr>
            <w:r w:rsidRPr="00C2523C">
              <w:rPr>
                <w:rFonts w:cstheme="minorHAnsi"/>
                <w:sz w:val="24"/>
                <w:szCs w:val="24"/>
              </w:rPr>
              <w:t>Ustawa przewiduje wyraźne rozgraniczenie na sankcje administracyjne (nakładane na przedsiębiorców telekomunikacyjnych lub podmioty publiczne za niezrealizowanie określonych obowiązków), a także na sankcje karne, za dopuszczenie się nadużyć w komunikacji elektronicznej.</w:t>
            </w:r>
          </w:p>
        </w:tc>
      </w:tr>
      <w:tr w:rsidR="00C2523C" w:rsidRPr="00C2523C" w14:paraId="191B754C" w14:textId="77777777" w:rsidTr="002F0E46">
        <w:tc>
          <w:tcPr>
            <w:tcW w:w="750" w:type="dxa"/>
          </w:tcPr>
          <w:p w14:paraId="111FFE83" w14:textId="77777777" w:rsidR="00DC3FD6" w:rsidRPr="00C2523C" w:rsidRDefault="00DC3FD6"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1373985F" w14:textId="3F6E5165" w:rsidR="00DC3FD6" w:rsidRPr="00C2523C" w:rsidRDefault="00DC3FD6" w:rsidP="00277373">
            <w:pPr>
              <w:rPr>
                <w:rFonts w:cstheme="minorHAnsi"/>
                <w:sz w:val="24"/>
                <w:szCs w:val="24"/>
              </w:rPr>
            </w:pPr>
            <w:r w:rsidRPr="00C2523C">
              <w:rPr>
                <w:rFonts w:cstheme="minorHAnsi"/>
                <w:sz w:val="24"/>
                <w:szCs w:val="24"/>
              </w:rPr>
              <w:t>MKSS</w:t>
            </w:r>
          </w:p>
        </w:tc>
        <w:tc>
          <w:tcPr>
            <w:tcW w:w="1328" w:type="dxa"/>
          </w:tcPr>
          <w:p w14:paraId="54A93181" w14:textId="4B6FAF68" w:rsidR="00DC3FD6" w:rsidRPr="00C2523C" w:rsidRDefault="00DC3FD6" w:rsidP="00277373">
            <w:pPr>
              <w:rPr>
                <w:rFonts w:cstheme="minorHAnsi"/>
                <w:sz w:val="24"/>
                <w:szCs w:val="24"/>
              </w:rPr>
            </w:pPr>
            <w:r w:rsidRPr="00C2523C">
              <w:rPr>
                <w:rFonts w:cstheme="minorHAnsi"/>
                <w:sz w:val="24"/>
                <w:szCs w:val="24"/>
              </w:rPr>
              <w:t>Art. 15</w:t>
            </w:r>
          </w:p>
        </w:tc>
        <w:tc>
          <w:tcPr>
            <w:tcW w:w="7229" w:type="dxa"/>
          </w:tcPr>
          <w:p w14:paraId="79DCF628" w14:textId="7C88BEC0" w:rsidR="00DC3FD6" w:rsidRPr="00C2523C" w:rsidRDefault="00DC3FD6" w:rsidP="002F0E46">
            <w:pPr>
              <w:pStyle w:val="Teksttreci0"/>
              <w:shd w:val="clear" w:color="auto" w:fill="auto"/>
              <w:spacing w:line="276" w:lineRule="auto"/>
              <w:ind w:firstLine="0"/>
            </w:pPr>
            <w:r w:rsidRPr="00C2523C">
              <w:rPr>
                <w:rFonts w:ascii="Calibri" w:hAnsi="Calibri" w:cs="Calibri"/>
                <w:sz w:val="24"/>
                <w:szCs w:val="24"/>
                <w:lang w:bidi="pl-PL"/>
              </w:rPr>
              <w:t xml:space="preserve">Należy zaproponować również uzupełnienie przepisów projektu regulujących zagadnienia czynów zabronionych oraz kar za ich </w:t>
            </w:r>
            <w:r w:rsidRPr="00C2523C">
              <w:rPr>
                <w:rFonts w:ascii="Calibri" w:hAnsi="Calibri" w:cs="Calibri"/>
                <w:sz w:val="24"/>
                <w:szCs w:val="24"/>
                <w:lang w:bidi="pl-PL"/>
              </w:rPr>
              <w:lastRenderedPageBreak/>
              <w:t>popełnienie, określonych w projektowanych art. 15 ust. 1 oraz art. 16 ust. 1 przedmiotowego projektu, w szczególności w zakresie ich stosowania wobec organów państwa, których zadania są związane z ochroną bezpieczeństwa państwa. Przytoczone przepisy wprowadzają sankcje, zgodnie z którymi dokonanie nadużycia w komunikacji elektronicznej będzie zagrożone karą pieniężną (projektowany art. 15 ust. 1). Natomiast dopuszczenie się tych nadużyć w celu osiągnięcia korzyści majątkowej lub wyrządzenia innej osobie szkody będzie zagrożone karą pozbawienia wolności od 3 miesięcy do lat 5. W przypadku mniejszej wagi przewidziana jest kara grzywny, ograniczenia wolności albo pozbawienia wolności do roku (projektowany art. 16 ust. 1 i 2).</w:t>
            </w:r>
          </w:p>
        </w:tc>
        <w:tc>
          <w:tcPr>
            <w:tcW w:w="3509" w:type="dxa"/>
          </w:tcPr>
          <w:p w14:paraId="4CF826C5" w14:textId="250AB76D" w:rsidR="00DC3FD6" w:rsidRPr="00C2523C" w:rsidRDefault="00DC3FD6" w:rsidP="00277373">
            <w:pPr>
              <w:rPr>
                <w:rFonts w:cstheme="minorHAnsi"/>
                <w:b/>
                <w:sz w:val="24"/>
                <w:szCs w:val="24"/>
              </w:rPr>
            </w:pPr>
            <w:r w:rsidRPr="00C2523C">
              <w:rPr>
                <w:rFonts w:cstheme="minorHAnsi"/>
                <w:b/>
                <w:sz w:val="24"/>
                <w:szCs w:val="24"/>
              </w:rPr>
              <w:lastRenderedPageBreak/>
              <w:t xml:space="preserve">Uwaga </w:t>
            </w:r>
            <w:r w:rsidR="006433AE" w:rsidRPr="00C2523C">
              <w:rPr>
                <w:rFonts w:cstheme="minorHAnsi"/>
                <w:b/>
                <w:sz w:val="24"/>
                <w:szCs w:val="24"/>
              </w:rPr>
              <w:t>wyjaśniona</w:t>
            </w:r>
            <w:r w:rsidRPr="00C2523C">
              <w:rPr>
                <w:rFonts w:cstheme="minorHAnsi"/>
                <w:b/>
                <w:sz w:val="24"/>
                <w:szCs w:val="24"/>
              </w:rPr>
              <w:t xml:space="preserve"> </w:t>
            </w:r>
          </w:p>
          <w:p w14:paraId="2CDC43A2" w14:textId="272B84D3" w:rsidR="00DC3FD6" w:rsidRPr="00C2523C" w:rsidRDefault="006433AE" w:rsidP="00277373">
            <w:pPr>
              <w:rPr>
                <w:rFonts w:cstheme="minorHAnsi"/>
                <w:sz w:val="24"/>
                <w:szCs w:val="24"/>
              </w:rPr>
            </w:pPr>
            <w:r w:rsidRPr="00C2523C">
              <w:rPr>
                <w:rFonts w:cstheme="minorHAnsi"/>
                <w:sz w:val="24"/>
                <w:szCs w:val="24"/>
              </w:rPr>
              <w:lastRenderedPageBreak/>
              <w:t>Przepis karny został doprecyzowany w zw. z innymi uwagami zgłoszonymi podczas konsultacji publicznych, uzgodnień i opiniowania.</w:t>
            </w:r>
            <w:r w:rsidR="00DC3FD6" w:rsidRPr="00C2523C">
              <w:rPr>
                <w:rFonts w:cstheme="minorHAnsi"/>
                <w:sz w:val="24"/>
                <w:szCs w:val="24"/>
              </w:rPr>
              <w:t xml:space="preserve"> </w:t>
            </w:r>
          </w:p>
        </w:tc>
      </w:tr>
      <w:tr w:rsidR="00C2523C" w:rsidRPr="00C2523C" w14:paraId="0D30CE7E" w14:textId="77777777" w:rsidTr="002F0E46">
        <w:tc>
          <w:tcPr>
            <w:tcW w:w="750" w:type="dxa"/>
          </w:tcPr>
          <w:p w14:paraId="488C8CF5" w14:textId="66F4326C"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530876E2" w14:textId="116C46D3"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06C59AD1" w14:textId="40E39469" w:rsidR="0041244E" w:rsidRPr="00C2523C" w:rsidRDefault="0041244E" w:rsidP="00277373">
            <w:pPr>
              <w:rPr>
                <w:rFonts w:cstheme="minorHAnsi"/>
                <w:sz w:val="24"/>
                <w:szCs w:val="24"/>
              </w:rPr>
            </w:pPr>
            <w:r w:rsidRPr="00C2523C">
              <w:rPr>
                <w:rFonts w:cstheme="minorHAnsi"/>
                <w:sz w:val="24"/>
                <w:szCs w:val="24"/>
              </w:rPr>
              <w:t>Art. 15</w:t>
            </w:r>
          </w:p>
        </w:tc>
        <w:tc>
          <w:tcPr>
            <w:tcW w:w="7229" w:type="dxa"/>
          </w:tcPr>
          <w:p w14:paraId="4F97C0C1" w14:textId="7777777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18) w przypadku przepisów o karach pieniężnych zauważyć należy:</w:t>
            </w:r>
          </w:p>
          <w:p w14:paraId="66495FFD" w14:textId="2B454330"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a) w art. 15 w ust. 1 określono, że kto dokonuje nadużyć w komunikacji elektronicznej,</w:t>
            </w:r>
            <w:r w:rsidR="004B5968" w:rsidRPr="00C2523C">
              <w:rPr>
                <w:rFonts w:cstheme="minorHAnsi"/>
                <w:sz w:val="24"/>
                <w:szCs w:val="24"/>
              </w:rPr>
              <w:t xml:space="preserve"> </w:t>
            </w:r>
            <w:r w:rsidRPr="00C2523C">
              <w:rPr>
                <w:rFonts w:cstheme="minorHAnsi"/>
                <w:sz w:val="24"/>
                <w:szCs w:val="24"/>
              </w:rPr>
              <w:t>o których mowa w art. 3 ust. 1 pkt 1, 2 lub 3, podlega karze pieniężnej. Zauważyć jednak</w:t>
            </w:r>
            <w:r w:rsidR="0011462A" w:rsidRPr="00C2523C">
              <w:rPr>
                <w:rFonts w:cstheme="minorHAnsi"/>
                <w:sz w:val="24"/>
                <w:szCs w:val="24"/>
              </w:rPr>
              <w:t xml:space="preserve"> </w:t>
            </w:r>
            <w:r w:rsidRPr="00C2523C">
              <w:rPr>
                <w:rFonts w:cstheme="minorHAnsi"/>
                <w:sz w:val="24"/>
                <w:szCs w:val="24"/>
              </w:rPr>
              <w:t>należy, że zgodnie z art. 3 zakazane są nadużycia w komunikacji elektronicznej (wszelkie),a w szczególności te wskazane w pkt 1-3. Projektodawca określa jednak jedynie sankcje za</w:t>
            </w:r>
            <w:r w:rsidR="0011462A" w:rsidRPr="00C2523C">
              <w:rPr>
                <w:rFonts w:cstheme="minorHAnsi"/>
                <w:sz w:val="24"/>
                <w:szCs w:val="24"/>
              </w:rPr>
              <w:t xml:space="preserve"> </w:t>
            </w:r>
            <w:r w:rsidRPr="00C2523C">
              <w:rPr>
                <w:rFonts w:cstheme="minorHAnsi"/>
                <w:sz w:val="24"/>
                <w:szCs w:val="24"/>
              </w:rPr>
              <w:t>nadużycia wskazane w pkt 1-3 pomijając fakt, że poza regulacją karną pozostają nadużycia</w:t>
            </w:r>
            <w:r w:rsidR="0011462A" w:rsidRPr="00C2523C">
              <w:rPr>
                <w:rFonts w:cstheme="minorHAnsi"/>
                <w:sz w:val="24"/>
                <w:szCs w:val="24"/>
              </w:rPr>
              <w:t xml:space="preserve"> </w:t>
            </w:r>
            <w:r w:rsidRPr="00C2523C">
              <w:rPr>
                <w:rFonts w:cstheme="minorHAnsi"/>
                <w:sz w:val="24"/>
                <w:szCs w:val="24"/>
              </w:rPr>
              <w:t>inne – czyli, zgodnie z definicją, świadczenie usługi telekomunikacyjnej lub korzystanie</w:t>
            </w:r>
            <w:r w:rsidR="0011462A" w:rsidRPr="00C2523C">
              <w:rPr>
                <w:rFonts w:cstheme="minorHAnsi"/>
                <w:sz w:val="24"/>
                <w:szCs w:val="24"/>
              </w:rPr>
              <w:t xml:space="preserve"> </w:t>
            </w:r>
            <w:r w:rsidRPr="00C2523C">
              <w:rPr>
                <w:rFonts w:cstheme="minorHAnsi"/>
                <w:sz w:val="24"/>
                <w:szCs w:val="24"/>
              </w:rPr>
              <w:t>z urządzeń telekomunikacyjnych niezgodnie z ich przeznaczeniem lub przepisami prawa,</w:t>
            </w:r>
            <w:r w:rsidR="0011462A" w:rsidRPr="00C2523C">
              <w:rPr>
                <w:rFonts w:cstheme="minorHAnsi"/>
                <w:sz w:val="24"/>
                <w:szCs w:val="24"/>
              </w:rPr>
              <w:t xml:space="preserve"> </w:t>
            </w:r>
            <w:r w:rsidRPr="00C2523C">
              <w:rPr>
                <w:rFonts w:cstheme="minorHAnsi"/>
                <w:sz w:val="24"/>
                <w:szCs w:val="24"/>
              </w:rPr>
              <w:t>których celem lub skutkiem jest wyrządzenie szkody przedsiębiorcy telekomunikacyjnemu,</w:t>
            </w:r>
            <w:r w:rsidR="0011462A" w:rsidRPr="00C2523C">
              <w:rPr>
                <w:rFonts w:cstheme="minorHAnsi"/>
                <w:sz w:val="24"/>
                <w:szCs w:val="24"/>
              </w:rPr>
              <w:t xml:space="preserve"> </w:t>
            </w:r>
            <w:r w:rsidRPr="00C2523C">
              <w:rPr>
                <w:rFonts w:cstheme="minorHAnsi"/>
                <w:sz w:val="24"/>
                <w:szCs w:val="24"/>
              </w:rPr>
              <w:t>użytkownikowi końcowemu lub osiągnięcie nienależnych korzyści. Kwestia ta wymaga</w:t>
            </w:r>
            <w:r w:rsidR="0011462A" w:rsidRPr="00C2523C">
              <w:rPr>
                <w:rFonts w:cstheme="minorHAnsi"/>
                <w:sz w:val="24"/>
                <w:szCs w:val="24"/>
              </w:rPr>
              <w:t xml:space="preserve"> </w:t>
            </w:r>
            <w:r w:rsidRPr="00C2523C">
              <w:rPr>
                <w:rFonts w:cstheme="minorHAnsi"/>
                <w:sz w:val="24"/>
                <w:szCs w:val="24"/>
              </w:rPr>
              <w:t>wyjaśnienia,</w:t>
            </w:r>
          </w:p>
          <w:p w14:paraId="65D0E7D1" w14:textId="2B3D2B0B" w:rsidR="0041244E" w:rsidRPr="00C2523C" w:rsidRDefault="0041244E">
            <w:pPr>
              <w:autoSpaceDE w:val="0"/>
              <w:autoSpaceDN w:val="0"/>
              <w:adjustRightInd w:val="0"/>
              <w:rPr>
                <w:rFonts w:cstheme="minorHAnsi"/>
                <w:sz w:val="24"/>
                <w:szCs w:val="24"/>
              </w:rPr>
            </w:pPr>
            <w:r w:rsidRPr="00C2523C">
              <w:rPr>
                <w:rFonts w:cstheme="minorHAnsi"/>
                <w:sz w:val="24"/>
                <w:szCs w:val="24"/>
              </w:rPr>
              <w:t>b) mając na uwadze zasadę określoności prawa przepis art. 15 ust. 4 zdanie drugie,</w:t>
            </w:r>
            <w:r w:rsidR="0011462A" w:rsidRPr="00C2523C">
              <w:rPr>
                <w:rFonts w:cstheme="minorHAnsi"/>
                <w:sz w:val="24"/>
                <w:szCs w:val="24"/>
              </w:rPr>
              <w:t xml:space="preserve"> </w:t>
            </w:r>
            <w:r w:rsidRPr="00C2523C">
              <w:rPr>
                <w:rFonts w:cstheme="minorHAnsi"/>
                <w:sz w:val="24"/>
                <w:szCs w:val="24"/>
              </w:rPr>
              <w:t>zawierający odesłania do ustawy – Prawo telekomunikacyjne, należy usunąć, a projektowaną</w:t>
            </w:r>
            <w:r w:rsidR="0011462A" w:rsidRPr="00C2523C">
              <w:rPr>
                <w:rFonts w:cstheme="minorHAnsi"/>
                <w:sz w:val="24"/>
                <w:szCs w:val="24"/>
              </w:rPr>
              <w:t xml:space="preserve"> </w:t>
            </w:r>
            <w:r w:rsidRPr="00C2523C">
              <w:rPr>
                <w:rFonts w:cstheme="minorHAnsi"/>
                <w:sz w:val="24"/>
                <w:szCs w:val="24"/>
              </w:rPr>
              <w:t xml:space="preserve">regulację uzupełnić </w:t>
            </w:r>
            <w:r w:rsidRPr="00C2523C">
              <w:rPr>
                <w:rFonts w:cstheme="minorHAnsi"/>
                <w:sz w:val="24"/>
                <w:szCs w:val="24"/>
              </w:rPr>
              <w:lastRenderedPageBreak/>
              <w:t>wprost o niezbędne przepisy dotyczące m.in. wysokości kar pieniężnych</w:t>
            </w:r>
            <w:r w:rsidR="0011462A" w:rsidRPr="00C2523C">
              <w:rPr>
                <w:rFonts w:cstheme="minorHAnsi"/>
                <w:sz w:val="24"/>
                <w:szCs w:val="24"/>
              </w:rPr>
              <w:t xml:space="preserve"> </w:t>
            </w:r>
            <w:r w:rsidRPr="00C2523C">
              <w:rPr>
                <w:rFonts w:cstheme="minorHAnsi"/>
                <w:sz w:val="24"/>
                <w:szCs w:val="24"/>
              </w:rPr>
              <w:t>oraz trybu ich egzekucji;</w:t>
            </w:r>
          </w:p>
        </w:tc>
        <w:tc>
          <w:tcPr>
            <w:tcW w:w="3509" w:type="dxa"/>
          </w:tcPr>
          <w:p w14:paraId="4A638FF4" w14:textId="6A037BAB" w:rsidR="006433AE" w:rsidRPr="00C2523C" w:rsidRDefault="006433AE" w:rsidP="00277373">
            <w:pPr>
              <w:rPr>
                <w:rFonts w:cstheme="minorHAnsi"/>
                <w:b/>
                <w:sz w:val="24"/>
                <w:szCs w:val="24"/>
              </w:rPr>
            </w:pPr>
            <w:r w:rsidRPr="00C2523C">
              <w:rPr>
                <w:rFonts w:cstheme="minorHAnsi"/>
                <w:b/>
                <w:sz w:val="24"/>
                <w:szCs w:val="24"/>
              </w:rPr>
              <w:lastRenderedPageBreak/>
              <w:t>Uwaga uwzględniona</w:t>
            </w:r>
            <w:r w:rsidRPr="00C2523C">
              <w:rPr>
                <w:rFonts w:cstheme="minorHAnsi"/>
                <w:sz w:val="24"/>
                <w:szCs w:val="24"/>
              </w:rPr>
              <w:t xml:space="preserve"> </w:t>
            </w:r>
            <w:r w:rsidRPr="00C2523C">
              <w:rPr>
                <w:rFonts w:cstheme="minorHAnsi"/>
                <w:sz w:val="24"/>
                <w:szCs w:val="24"/>
              </w:rPr>
              <w:br/>
            </w:r>
            <w:r w:rsidRPr="00C2523C">
              <w:rPr>
                <w:rFonts w:cstheme="minorHAnsi"/>
                <w:b/>
                <w:sz w:val="24"/>
                <w:szCs w:val="24"/>
              </w:rPr>
              <w:t>w zakresie jakim dot. uzupełnienia przepisów karnych w innych niż poprzez odesłanie</w:t>
            </w:r>
          </w:p>
          <w:p w14:paraId="6B8F0D70" w14:textId="77777777" w:rsidR="006433AE" w:rsidRPr="00C2523C" w:rsidRDefault="006433AE" w:rsidP="00277373">
            <w:pPr>
              <w:rPr>
                <w:rFonts w:cstheme="minorHAnsi"/>
                <w:b/>
                <w:sz w:val="24"/>
                <w:szCs w:val="24"/>
              </w:rPr>
            </w:pPr>
          </w:p>
          <w:p w14:paraId="560657D9" w14:textId="3C012F28" w:rsidR="004B5968" w:rsidRPr="00C2523C" w:rsidRDefault="00C66D66" w:rsidP="00277373">
            <w:pPr>
              <w:rPr>
                <w:rFonts w:cstheme="minorHAnsi"/>
                <w:sz w:val="24"/>
                <w:szCs w:val="24"/>
                <w:highlight w:val="yellow"/>
              </w:rPr>
            </w:pPr>
            <w:r w:rsidRPr="00C2523C">
              <w:rPr>
                <w:rFonts w:cstheme="minorHAnsi"/>
                <w:b/>
                <w:sz w:val="24"/>
                <w:szCs w:val="24"/>
              </w:rPr>
              <w:t>Uwaga wyjaśniona</w:t>
            </w:r>
            <w:r w:rsidR="00384BB8" w:rsidRPr="00C2523C">
              <w:rPr>
                <w:rFonts w:cstheme="minorHAnsi"/>
                <w:b/>
                <w:sz w:val="24"/>
                <w:szCs w:val="24"/>
              </w:rPr>
              <w:t xml:space="preserve"> w pozostałym zakresie</w:t>
            </w:r>
            <w:r w:rsidRPr="00C2523C">
              <w:rPr>
                <w:rFonts w:cstheme="minorHAnsi"/>
                <w:sz w:val="24"/>
                <w:szCs w:val="24"/>
              </w:rPr>
              <w:br/>
            </w:r>
            <w:r w:rsidR="004B5968" w:rsidRPr="00C2523C">
              <w:rPr>
                <w:rFonts w:cstheme="minorHAnsi"/>
                <w:sz w:val="24"/>
                <w:szCs w:val="24"/>
              </w:rPr>
              <w:t xml:space="preserve">Jak </w:t>
            </w:r>
            <w:r w:rsidRPr="00C2523C">
              <w:rPr>
                <w:rFonts w:cstheme="minorHAnsi"/>
                <w:sz w:val="24"/>
                <w:szCs w:val="24"/>
              </w:rPr>
              <w:t>wynika z innych uwag RCL</w:t>
            </w:r>
            <w:r w:rsidR="004B5968" w:rsidRPr="00C2523C">
              <w:rPr>
                <w:rFonts w:cstheme="minorHAnsi"/>
                <w:sz w:val="24"/>
                <w:szCs w:val="24"/>
              </w:rPr>
              <w:t xml:space="preserve">, </w:t>
            </w:r>
            <w:r w:rsidR="00B32934" w:rsidRPr="00C2523C">
              <w:rPr>
                <w:rFonts w:cstheme="minorHAnsi"/>
                <w:sz w:val="24"/>
                <w:szCs w:val="24"/>
              </w:rPr>
              <w:t xml:space="preserve">obowiązek podejmowania proporcjonalnych środków technicznych i organizacyjnych mających na celu zapobieganie nadużyciom w komunikacji elektronicznej i ich zwalczanie ma charakter ogólny. Jest on w pewnym zakresie doprecyzowany innymi postanowieniami </w:t>
            </w:r>
            <w:r w:rsidR="00B32934" w:rsidRPr="00C2523C">
              <w:rPr>
                <w:rFonts w:cstheme="minorHAnsi"/>
                <w:sz w:val="24"/>
                <w:szCs w:val="24"/>
              </w:rPr>
              <w:lastRenderedPageBreak/>
              <w:t xml:space="preserve">projektowanej ustawy. W pozostałym zakresie, tj. w takim w jakim nie jest doprecyzowany, nie może wiązać się z </w:t>
            </w:r>
            <w:r w:rsidRPr="00C2523C">
              <w:rPr>
                <w:rFonts w:cstheme="minorHAnsi"/>
                <w:sz w:val="24"/>
                <w:szCs w:val="24"/>
              </w:rPr>
              <w:t xml:space="preserve">ryzykiem nałożenia sankcji przez jego niestosowanie. </w:t>
            </w:r>
          </w:p>
          <w:p w14:paraId="1A5A16FE" w14:textId="147ADCE9" w:rsidR="0041244E" w:rsidRPr="00C2523C" w:rsidRDefault="0041244E">
            <w:pPr>
              <w:rPr>
                <w:rFonts w:cstheme="minorHAnsi"/>
                <w:b/>
                <w:sz w:val="24"/>
                <w:szCs w:val="24"/>
              </w:rPr>
            </w:pPr>
          </w:p>
        </w:tc>
      </w:tr>
      <w:tr w:rsidR="00C2523C" w:rsidRPr="00C2523C" w14:paraId="17C6C871" w14:textId="77777777" w:rsidTr="002F0E46">
        <w:tc>
          <w:tcPr>
            <w:tcW w:w="750" w:type="dxa"/>
          </w:tcPr>
          <w:p w14:paraId="0DE3E9CA"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7B8CA8DF" w14:textId="5BDCFCF2"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5E375F95" w14:textId="0CFB028F" w:rsidR="00FD3498" w:rsidRPr="00C2523C" w:rsidRDefault="00FD3498" w:rsidP="00277373">
            <w:pPr>
              <w:rPr>
                <w:rFonts w:cstheme="minorHAnsi"/>
                <w:sz w:val="24"/>
                <w:szCs w:val="24"/>
              </w:rPr>
            </w:pPr>
            <w:r w:rsidRPr="00C2523C">
              <w:rPr>
                <w:rFonts w:cstheme="minorHAnsi"/>
                <w:sz w:val="24"/>
                <w:szCs w:val="24"/>
              </w:rPr>
              <w:t>Art. 16 ust. 1</w:t>
            </w:r>
          </w:p>
        </w:tc>
        <w:tc>
          <w:tcPr>
            <w:tcW w:w="7229" w:type="dxa"/>
          </w:tcPr>
          <w:p w14:paraId="44E83511" w14:textId="517F521D" w:rsidR="00FD3498" w:rsidRPr="00C2523C" w:rsidRDefault="00BA54DC" w:rsidP="00FD3498">
            <w:pPr>
              <w:autoSpaceDE w:val="0"/>
              <w:autoSpaceDN w:val="0"/>
              <w:adjustRightInd w:val="0"/>
              <w:rPr>
                <w:rFonts w:cstheme="minorHAnsi"/>
                <w:sz w:val="24"/>
                <w:szCs w:val="24"/>
              </w:rPr>
            </w:pPr>
            <w:r w:rsidRPr="00C2523C">
              <w:rPr>
                <w:rFonts w:cstheme="minorHAnsi"/>
                <w:sz w:val="24"/>
                <w:szCs w:val="24"/>
              </w:rPr>
              <w:t>projektowane</w:t>
            </w:r>
            <w:r w:rsidR="00FD3498" w:rsidRPr="00C2523C">
              <w:rPr>
                <w:rFonts w:cstheme="minorHAnsi"/>
                <w:sz w:val="24"/>
                <w:szCs w:val="24"/>
              </w:rPr>
              <w:t xml:space="preserve"> w </w:t>
            </w:r>
            <w:r w:rsidR="00FD3498" w:rsidRPr="00C2523C">
              <w:rPr>
                <w:rFonts w:cstheme="minorHAnsi"/>
                <w:b/>
                <w:bCs/>
                <w:sz w:val="24"/>
                <w:szCs w:val="24"/>
              </w:rPr>
              <w:t xml:space="preserve">art. 16 ust. 1 </w:t>
            </w:r>
            <w:r w:rsidR="00FD3498" w:rsidRPr="00C2523C">
              <w:rPr>
                <w:rFonts w:cstheme="minorHAnsi"/>
                <w:sz w:val="24"/>
                <w:szCs w:val="24"/>
              </w:rPr>
              <w:t>przepisy w zakresie odpowiedzialności karnej</w:t>
            </w:r>
            <w:r w:rsidR="002C4076" w:rsidRPr="00C2523C">
              <w:rPr>
                <w:rFonts w:cstheme="minorHAnsi"/>
                <w:sz w:val="24"/>
                <w:szCs w:val="24"/>
              </w:rPr>
              <w:t xml:space="preserve"> </w:t>
            </w:r>
            <w:r w:rsidR="00FD3498" w:rsidRPr="00C2523C">
              <w:rPr>
                <w:rFonts w:cstheme="minorHAnsi"/>
                <w:sz w:val="24"/>
                <w:szCs w:val="24"/>
              </w:rPr>
              <w:t>sprawców nadużyć w komunikacji elektronicznej wymagają pogłębionej analizy i korekty</w:t>
            </w:r>
            <w:r w:rsidR="002C4076" w:rsidRPr="00C2523C">
              <w:rPr>
                <w:rFonts w:cstheme="minorHAnsi"/>
                <w:sz w:val="24"/>
                <w:szCs w:val="24"/>
              </w:rPr>
              <w:t xml:space="preserve"> </w:t>
            </w:r>
            <w:r w:rsidR="00FD3498" w:rsidRPr="00C2523C">
              <w:rPr>
                <w:rFonts w:cstheme="minorHAnsi"/>
                <w:sz w:val="24"/>
                <w:szCs w:val="24"/>
              </w:rPr>
              <w:t>redakcyjnej. Z punktu widzenia ich czytelności zasadne byłoby ujęcie każdego z zachowań</w:t>
            </w:r>
            <w:r w:rsidR="002C4076" w:rsidRPr="00C2523C">
              <w:rPr>
                <w:rFonts w:cstheme="minorHAnsi"/>
                <w:sz w:val="24"/>
                <w:szCs w:val="24"/>
              </w:rPr>
              <w:t xml:space="preserve"> </w:t>
            </w:r>
            <w:r w:rsidR="00FD3498" w:rsidRPr="00C2523C">
              <w:rPr>
                <w:rFonts w:cstheme="minorHAnsi"/>
                <w:sz w:val="24"/>
                <w:szCs w:val="24"/>
              </w:rPr>
              <w:t>wyszczególnionych w punktach 1-3 w odrębnej jednostce redakcyjnej.</w:t>
            </w:r>
          </w:p>
          <w:p w14:paraId="4874416E" w14:textId="77777777" w:rsidR="00D50AB9" w:rsidRPr="00C2523C" w:rsidRDefault="00D50AB9" w:rsidP="00FD3498">
            <w:pPr>
              <w:autoSpaceDE w:val="0"/>
              <w:autoSpaceDN w:val="0"/>
              <w:adjustRightInd w:val="0"/>
              <w:rPr>
                <w:rFonts w:cstheme="minorHAnsi"/>
                <w:sz w:val="24"/>
                <w:szCs w:val="24"/>
              </w:rPr>
            </w:pPr>
          </w:p>
          <w:p w14:paraId="2EA232F8" w14:textId="1C7E0EE2" w:rsidR="00D50AB9" w:rsidRPr="00C2523C" w:rsidRDefault="00FD3498" w:rsidP="00FD3498">
            <w:pPr>
              <w:autoSpaceDE w:val="0"/>
              <w:autoSpaceDN w:val="0"/>
              <w:adjustRightInd w:val="0"/>
              <w:rPr>
                <w:rFonts w:cstheme="minorHAnsi"/>
                <w:sz w:val="24"/>
                <w:szCs w:val="24"/>
              </w:rPr>
            </w:pPr>
            <w:r w:rsidRPr="00C2523C">
              <w:rPr>
                <w:rFonts w:cstheme="minorHAnsi"/>
                <w:sz w:val="24"/>
                <w:szCs w:val="24"/>
              </w:rPr>
              <w:t>Zauważyć należy, że pkt 2 ww. przepisu obejmuje jedynie zachowania polegające</w:t>
            </w:r>
            <w:r w:rsidR="002C4076" w:rsidRPr="00C2523C">
              <w:rPr>
                <w:rFonts w:cstheme="minorHAnsi"/>
                <w:sz w:val="24"/>
                <w:szCs w:val="24"/>
              </w:rPr>
              <w:t xml:space="preserve"> </w:t>
            </w:r>
            <w:r w:rsidRPr="00C2523C">
              <w:rPr>
                <w:rFonts w:cstheme="minorHAnsi"/>
                <w:sz w:val="24"/>
                <w:szCs w:val="24"/>
              </w:rPr>
              <w:t>na wysłaniu krótkich wiadomości tekstowych (SMS).</w:t>
            </w:r>
          </w:p>
          <w:p w14:paraId="61959C7F" w14:textId="7EADD8F9" w:rsidR="009C3F88" w:rsidRPr="00C2523C" w:rsidRDefault="00FD3498" w:rsidP="00FD3498">
            <w:pPr>
              <w:autoSpaceDE w:val="0"/>
              <w:autoSpaceDN w:val="0"/>
              <w:adjustRightInd w:val="0"/>
              <w:rPr>
                <w:rFonts w:cstheme="minorHAnsi"/>
                <w:sz w:val="24"/>
                <w:szCs w:val="24"/>
              </w:rPr>
            </w:pPr>
            <w:r w:rsidRPr="00C2523C">
              <w:rPr>
                <w:rFonts w:cstheme="minorHAnsi"/>
                <w:sz w:val="24"/>
                <w:szCs w:val="24"/>
              </w:rPr>
              <w:t>Pominięto zarówno wiadomości</w:t>
            </w:r>
            <w:r w:rsidR="002C4076" w:rsidRPr="00C2523C">
              <w:rPr>
                <w:rFonts w:cstheme="minorHAnsi"/>
                <w:sz w:val="24"/>
                <w:szCs w:val="24"/>
              </w:rPr>
              <w:t xml:space="preserve"> </w:t>
            </w:r>
            <w:r w:rsidRPr="00C2523C">
              <w:rPr>
                <w:rFonts w:cstheme="minorHAnsi"/>
                <w:sz w:val="24"/>
                <w:szCs w:val="24"/>
              </w:rPr>
              <w:t>multimedialne MMS (przy pomocy których również dochodzi do naruszeń), wiadomości</w:t>
            </w:r>
            <w:r w:rsidR="002C4076" w:rsidRPr="00C2523C">
              <w:rPr>
                <w:rFonts w:cstheme="minorHAnsi"/>
                <w:sz w:val="24"/>
                <w:szCs w:val="24"/>
              </w:rPr>
              <w:t xml:space="preserve"> </w:t>
            </w:r>
            <w:r w:rsidRPr="00C2523C">
              <w:rPr>
                <w:rFonts w:cstheme="minorHAnsi"/>
                <w:sz w:val="24"/>
                <w:szCs w:val="24"/>
              </w:rPr>
              <w:t>przesyłane przy pomocy komunikatorów internetowych (do wysyłania linków prowadzących</w:t>
            </w:r>
            <w:r w:rsidR="002C4076" w:rsidRPr="00C2523C">
              <w:rPr>
                <w:rFonts w:cstheme="minorHAnsi"/>
                <w:sz w:val="24"/>
                <w:szCs w:val="24"/>
              </w:rPr>
              <w:t xml:space="preserve"> </w:t>
            </w:r>
            <w:r w:rsidRPr="00C2523C">
              <w:rPr>
                <w:rFonts w:cstheme="minorHAnsi"/>
                <w:sz w:val="24"/>
                <w:szCs w:val="24"/>
              </w:rPr>
              <w:t>do stron podszywających się pod portale społecznościowe np. Facebook – zazwyczaj dochodzi</w:t>
            </w:r>
            <w:r w:rsidR="002C4076" w:rsidRPr="00C2523C">
              <w:rPr>
                <w:rFonts w:cstheme="minorHAnsi"/>
                <w:sz w:val="24"/>
                <w:szCs w:val="24"/>
              </w:rPr>
              <w:t xml:space="preserve"> </w:t>
            </w:r>
            <w:r w:rsidRPr="00C2523C">
              <w:rPr>
                <w:rFonts w:cstheme="minorHAnsi"/>
                <w:sz w:val="24"/>
                <w:szCs w:val="24"/>
              </w:rPr>
              <w:t>przy wykorzystaniu Messengera, zaś do wyłudzania danych kart płatniczych w atakach</w:t>
            </w:r>
            <w:r w:rsidR="002C4076" w:rsidRPr="00C2523C">
              <w:rPr>
                <w:rFonts w:cstheme="minorHAnsi"/>
                <w:sz w:val="24"/>
                <w:szCs w:val="24"/>
              </w:rPr>
              <w:t xml:space="preserve"> </w:t>
            </w:r>
            <w:r w:rsidRPr="00C2523C">
              <w:rPr>
                <w:rFonts w:cstheme="minorHAnsi"/>
                <w:sz w:val="24"/>
                <w:szCs w:val="24"/>
              </w:rPr>
              <w:t>ukierunkowanych na sprzedających towary na platformach sprzedażowych typu OLX i Vinted –</w:t>
            </w:r>
            <w:r w:rsidR="002C4076" w:rsidRPr="00C2523C">
              <w:rPr>
                <w:rFonts w:cstheme="minorHAnsi"/>
                <w:sz w:val="24"/>
                <w:szCs w:val="24"/>
              </w:rPr>
              <w:t xml:space="preserve"> </w:t>
            </w:r>
            <w:r w:rsidRPr="00C2523C">
              <w:rPr>
                <w:rFonts w:cstheme="minorHAnsi"/>
                <w:sz w:val="24"/>
                <w:szCs w:val="24"/>
              </w:rPr>
              <w:t>przy wykorzystaniu komunikatora WhatsApp). Zatem nadmiernie wąsko określono sposób</w:t>
            </w:r>
            <w:r w:rsidR="002C4076" w:rsidRPr="00C2523C">
              <w:rPr>
                <w:rFonts w:cstheme="minorHAnsi"/>
                <w:sz w:val="24"/>
                <w:szCs w:val="24"/>
              </w:rPr>
              <w:t xml:space="preserve"> </w:t>
            </w:r>
            <w:r w:rsidRPr="00C2523C">
              <w:rPr>
                <w:rFonts w:cstheme="minorHAnsi"/>
                <w:sz w:val="24"/>
                <w:szCs w:val="24"/>
              </w:rPr>
              <w:t>działania sprawcy.</w:t>
            </w:r>
          </w:p>
          <w:p w14:paraId="06001170" w14:textId="7D756F44"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Pominięto również objęcie odpowiedzialnością karną działania tych sprawców, którzy</w:t>
            </w:r>
            <w:r w:rsidR="002C4076" w:rsidRPr="00C2523C">
              <w:rPr>
                <w:rFonts w:cstheme="minorHAnsi"/>
                <w:sz w:val="24"/>
                <w:szCs w:val="24"/>
              </w:rPr>
              <w:t xml:space="preserve"> </w:t>
            </w:r>
            <w:r w:rsidRPr="00C2523C">
              <w:rPr>
                <w:rFonts w:cstheme="minorHAnsi"/>
                <w:sz w:val="24"/>
                <w:szCs w:val="24"/>
              </w:rPr>
              <w:t>w celu nakłonienia odbiorcy do określonego działania, w szczególności przekazania danych</w:t>
            </w:r>
            <w:r w:rsidR="002C4076" w:rsidRPr="00C2523C">
              <w:rPr>
                <w:rFonts w:cstheme="minorHAnsi"/>
                <w:sz w:val="24"/>
                <w:szCs w:val="24"/>
              </w:rPr>
              <w:t xml:space="preserve"> </w:t>
            </w:r>
            <w:r w:rsidRPr="00C2523C">
              <w:rPr>
                <w:rFonts w:cstheme="minorHAnsi"/>
                <w:sz w:val="24"/>
                <w:szCs w:val="24"/>
              </w:rPr>
              <w:t xml:space="preserve">osobowych, nieświadomego rozporządzenia majątkiem, przekierowania na stronę </w:t>
            </w:r>
            <w:r w:rsidRPr="00C2523C">
              <w:rPr>
                <w:rFonts w:cstheme="minorHAnsi"/>
                <w:sz w:val="24"/>
                <w:szCs w:val="24"/>
              </w:rPr>
              <w:lastRenderedPageBreak/>
              <w:t>www,</w:t>
            </w:r>
            <w:r w:rsidR="002C4076" w:rsidRPr="00C2523C">
              <w:rPr>
                <w:rFonts w:cstheme="minorHAnsi"/>
                <w:sz w:val="24"/>
                <w:szCs w:val="24"/>
              </w:rPr>
              <w:t xml:space="preserve"> </w:t>
            </w:r>
            <w:r w:rsidRPr="00C2523C">
              <w:rPr>
                <w:rFonts w:cstheme="minorHAnsi"/>
                <w:sz w:val="24"/>
                <w:szCs w:val="24"/>
              </w:rPr>
              <w:t>żądania kontaktu telefonicznego lub instalacji oprogramowania, wysyłają wiadomości pocztą</w:t>
            </w:r>
            <w:r w:rsidR="002C4076" w:rsidRPr="00C2523C">
              <w:rPr>
                <w:rFonts w:cstheme="minorHAnsi"/>
                <w:sz w:val="24"/>
                <w:szCs w:val="24"/>
              </w:rPr>
              <w:t xml:space="preserve"> </w:t>
            </w:r>
            <w:r w:rsidRPr="00C2523C">
              <w:rPr>
                <w:rFonts w:cstheme="minorHAnsi"/>
                <w:sz w:val="24"/>
                <w:szCs w:val="24"/>
              </w:rPr>
              <w:t>elektroniczną.</w:t>
            </w:r>
          </w:p>
          <w:p w14:paraId="6F033C67" w14:textId="77777777" w:rsidR="006B03CD" w:rsidRPr="00C2523C" w:rsidRDefault="006B03CD" w:rsidP="00FD3498">
            <w:pPr>
              <w:autoSpaceDE w:val="0"/>
              <w:autoSpaceDN w:val="0"/>
              <w:adjustRightInd w:val="0"/>
              <w:rPr>
                <w:rFonts w:cstheme="minorHAnsi"/>
                <w:sz w:val="24"/>
                <w:szCs w:val="24"/>
              </w:rPr>
            </w:pPr>
          </w:p>
          <w:p w14:paraId="5E3A2234" w14:textId="5E4F452F"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Dla zapewnienia karnoprawnej reakcji bez względu na zastosowany kanał komunikacji</w:t>
            </w:r>
            <w:r w:rsidR="002C4076" w:rsidRPr="00C2523C">
              <w:rPr>
                <w:rFonts w:cstheme="minorHAnsi"/>
                <w:sz w:val="24"/>
                <w:szCs w:val="24"/>
              </w:rPr>
              <w:t xml:space="preserve"> </w:t>
            </w:r>
            <w:r w:rsidRPr="00C2523C">
              <w:rPr>
                <w:rFonts w:cstheme="minorHAnsi"/>
                <w:sz w:val="24"/>
                <w:szCs w:val="24"/>
              </w:rPr>
              <w:t>i ewentualny rozwój technologii, celowe jest dokonanie zmian w zakresie art. 16 pkt 2</w:t>
            </w:r>
            <w:r w:rsidR="002C4076" w:rsidRPr="00C2523C">
              <w:rPr>
                <w:rFonts w:cstheme="minorHAnsi"/>
                <w:sz w:val="24"/>
                <w:szCs w:val="24"/>
              </w:rPr>
              <w:t xml:space="preserve"> </w:t>
            </w:r>
            <w:r w:rsidRPr="00C2523C">
              <w:rPr>
                <w:rFonts w:cstheme="minorHAnsi"/>
                <w:sz w:val="24"/>
                <w:szCs w:val="24"/>
              </w:rPr>
              <w:t xml:space="preserve">przez zastąpienie zwrotu </w:t>
            </w:r>
            <w:r w:rsidRPr="00C2523C">
              <w:rPr>
                <w:rFonts w:cstheme="minorHAnsi"/>
                <w:i/>
                <w:iCs/>
                <w:sz w:val="24"/>
                <w:szCs w:val="24"/>
              </w:rPr>
              <w:t xml:space="preserve">krótkich wiadomości tekstowych (SMS) </w:t>
            </w:r>
            <w:r w:rsidRPr="00C2523C">
              <w:rPr>
                <w:rFonts w:cstheme="minorHAnsi"/>
                <w:sz w:val="24"/>
                <w:szCs w:val="24"/>
              </w:rPr>
              <w:t xml:space="preserve">określeniem </w:t>
            </w:r>
            <w:r w:rsidRPr="00C2523C">
              <w:rPr>
                <w:rFonts w:cstheme="minorHAnsi"/>
                <w:i/>
                <w:iCs/>
                <w:sz w:val="24"/>
                <w:szCs w:val="24"/>
              </w:rPr>
              <w:t>wiadomości</w:t>
            </w:r>
            <w:r w:rsidR="002C4076" w:rsidRPr="00C2523C">
              <w:rPr>
                <w:rFonts w:cstheme="minorHAnsi"/>
                <w:i/>
                <w:iCs/>
                <w:sz w:val="24"/>
                <w:szCs w:val="24"/>
              </w:rPr>
              <w:t xml:space="preserve"> </w:t>
            </w:r>
            <w:r w:rsidRPr="00C2523C">
              <w:rPr>
                <w:rFonts w:cstheme="minorHAnsi"/>
                <w:i/>
                <w:iCs/>
                <w:sz w:val="24"/>
                <w:szCs w:val="24"/>
              </w:rPr>
              <w:t xml:space="preserve">tekstowych lub multimedialnych, w tym również przesyłanych pocztą elektroniczną </w:t>
            </w:r>
            <w:r w:rsidRPr="00C2523C">
              <w:rPr>
                <w:rFonts w:cstheme="minorHAnsi"/>
                <w:sz w:val="24"/>
                <w:szCs w:val="24"/>
              </w:rPr>
              <w:t>lub wskazanego</w:t>
            </w:r>
            <w:r w:rsidR="002C4076" w:rsidRPr="00C2523C">
              <w:rPr>
                <w:rFonts w:cstheme="minorHAnsi"/>
                <w:sz w:val="24"/>
                <w:szCs w:val="24"/>
              </w:rPr>
              <w:t xml:space="preserve"> </w:t>
            </w:r>
            <w:r w:rsidRPr="00C2523C">
              <w:rPr>
                <w:rFonts w:cstheme="minorHAnsi"/>
                <w:sz w:val="24"/>
                <w:szCs w:val="24"/>
              </w:rPr>
              <w:t xml:space="preserve">w słowniczku ustawowym określenia </w:t>
            </w:r>
            <w:r w:rsidRPr="00C2523C">
              <w:rPr>
                <w:rFonts w:cstheme="minorHAnsi"/>
                <w:i/>
                <w:iCs/>
                <w:sz w:val="24"/>
                <w:szCs w:val="24"/>
              </w:rPr>
              <w:t xml:space="preserve">komunikatów elektronicznych </w:t>
            </w:r>
            <w:r w:rsidRPr="00C2523C">
              <w:rPr>
                <w:rFonts w:cstheme="minorHAnsi"/>
                <w:sz w:val="24"/>
                <w:szCs w:val="24"/>
              </w:rPr>
              <w:t>– zdefiniowanych</w:t>
            </w:r>
            <w:r w:rsidR="002C4076" w:rsidRPr="00C2523C">
              <w:rPr>
                <w:rFonts w:cstheme="minorHAnsi"/>
                <w:sz w:val="24"/>
                <w:szCs w:val="24"/>
              </w:rPr>
              <w:t xml:space="preserve"> </w:t>
            </w:r>
            <w:r w:rsidRPr="00C2523C">
              <w:rPr>
                <w:rFonts w:cstheme="minorHAnsi"/>
                <w:sz w:val="24"/>
                <w:szCs w:val="24"/>
              </w:rPr>
              <w:t>jako każda informacja wymieniana lub przekazywana między określonymi użytkownikami</w:t>
            </w:r>
            <w:r w:rsidR="002C4076" w:rsidRPr="00C2523C">
              <w:rPr>
                <w:rFonts w:cstheme="minorHAnsi"/>
                <w:sz w:val="24"/>
                <w:szCs w:val="24"/>
              </w:rPr>
              <w:t xml:space="preserve"> </w:t>
            </w:r>
            <w:r w:rsidRPr="00C2523C">
              <w:rPr>
                <w:rFonts w:cstheme="minorHAnsi"/>
                <w:sz w:val="24"/>
                <w:szCs w:val="24"/>
              </w:rPr>
              <w:t>za pośrednictwem publicznie dostępnych usług telekomunikacyjnych lub usług komunikacji</w:t>
            </w:r>
            <w:r w:rsidR="002C4076" w:rsidRPr="00C2523C">
              <w:rPr>
                <w:rFonts w:cstheme="minorHAnsi"/>
                <w:sz w:val="24"/>
                <w:szCs w:val="24"/>
              </w:rPr>
              <w:t xml:space="preserve"> </w:t>
            </w:r>
            <w:r w:rsidRPr="00C2523C">
              <w:rPr>
                <w:rFonts w:cstheme="minorHAnsi"/>
                <w:sz w:val="24"/>
                <w:szCs w:val="24"/>
              </w:rPr>
              <w:t>interpersonalnej niewykorzystujących numerów.</w:t>
            </w:r>
          </w:p>
          <w:p w14:paraId="0D5AB89D" w14:textId="1F3189E0" w:rsidR="00FD3498" w:rsidRPr="00C2523C" w:rsidRDefault="00FD3498">
            <w:pPr>
              <w:autoSpaceDE w:val="0"/>
              <w:autoSpaceDN w:val="0"/>
              <w:adjustRightInd w:val="0"/>
              <w:rPr>
                <w:rFonts w:cstheme="minorHAnsi"/>
                <w:sz w:val="24"/>
                <w:szCs w:val="24"/>
              </w:rPr>
            </w:pPr>
            <w:r w:rsidRPr="00C2523C">
              <w:rPr>
                <w:rFonts w:cstheme="minorHAnsi"/>
                <w:sz w:val="24"/>
                <w:szCs w:val="24"/>
              </w:rPr>
              <w:t>Ponieważ celem działania sprawców jest zazwyczaj pozyskanie haseł komputerowych,</w:t>
            </w:r>
            <w:r w:rsidR="002C4076" w:rsidRPr="00C2523C">
              <w:rPr>
                <w:rFonts w:cstheme="minorHAnsi"/>
                <w:sz w:val="24"/>
                <w:szCs w:val="24"/>
              </w:rPr>
              <w:t xml:space="preserve"> </w:t>
            </w:r>
            <w:r w:rsidRPr="00C2523C">
              <w:rPr>
                <w:rFonts w:cstheme="minorHAnsi"/>
                <w:sz w:val="24"/>
                <w:szCs w:val="24"/>
              </w:rPr>
              <w:t>kodów dostępu lub innych danych umożliwiających nieuprawniony dostęp do informacji</w:t>
            </w:r>
            <w:r w:rsidR="002C4076" w:rsidRPr="00C2523C">
              <w:rPr>
                <w:rFonts w:cstheme="minorHAnsi"/>
                <w:sz w:val="24"/>
                <w:szCs w:val="24"/>
              </w:rPr>
              <w:t xml:space="preserve"> </w:t>
            </w:r>
            <w:r w:rsidRPr="00C2523C">
              <w:rPr>
                <w:rFonts w:cstheme="minorHAnsi"/>
                <w:sz w:val="24"/>
                <w:szCs w:val="24"/>
              </w:rPr>
              <w:t>przechowywanych w systemie informatycznym, teleinformatycznym lub sieci teleinformatycznej</w:t>
            </w:r>
            <w:r w:rsidR="002C4076" w:rsidRPr="00C2523C">
              <w:rPr>
                <w:rFonts w:cstheme="minorHAnsi"/>
                <w:sz w:val="24"/>
                <w:szCs w:val="24"/>
              </w:rPr>
              <w:t xml:space="preserve"> </w:t>
            </w:r>
            <w:r w:rsidRPr="00C2523C">
              <w:rPr>
                <w:rFonts w:cstheme="minorHAnsi"/>
                <w:sz w:val="24"/>
                <w:szCs w:val="24"/>
              </w:rPr>
              <w:t>– ten cel powinien zostać uwzględniony w opisie zachowań ujętych zarówno w pkt 2 i 3 w art.</w:t>
            </w:r>
            <w:r w:rsidR="002E15A0" w:rsidRPr="00C2523C">
              <w:rPr>
                <w:rFonts w:cstheme="minorHAnsi"/>
                <w:sz w:val="24"/>
                <w:szCs w:val="24"/>
              </w:rPr>
              <w:t xml:space="preserve"> </w:t>
            </w:r>
            <w:r w:rsidRPr="00C2523C">
              <w:rPr>
                <w:rFonts w:cstheme="minorHAnsi"/>
                <w:sz w:val="24"/>
                <w:szCs w:val="24"/>
              </w:rPr>
              <w:t>16 ust. 1.</w:t>
            </w:r>
          </w:p>
        </w:tc>
        <w:tc>
          <w:tcPr>
            <w:tcW w:w="3509" w:type="dxa"/>
          </w:tcPr>
          <w:p w14:paraId="1F8B615B" w14:textId="5708DB37" w:rsidR="00D50AB9" w:rsidRPr="00C2523C" w:rsidRDefault="009C3F88">
            <w:pPr>
              <w:rPr>
                <w:rFonts w:cstheme="minorHAnsi"/>
                <w:sz w:val="24"/>
                <w:szCs w:val="24"/>
              </w:rPr>
            </w:pPr>
            <w:r w:rsidRPr="00C2523C">
              <w:rPr>
                <w:rFonts w:cstheme="minorHAnsi"/>
                <w:b/>
                <w:sz w:val="24"/>
                <w:szCs w:val="24"/>
              </w:rPr>
              <w:lastRenderedPageBreak/>
              <w:t xml:space="preserve">Uwaga </w:t>
            </w:r>
            <w:r w:rsidR="00D50AB9" w:rsidRPr="00C2523C">
              <w:rPr>
                <w:rFonts w:cstheme="minorHAnsi"/>
                <w:b/>
                <w:sz w:val="24"/>
                <w:szCs w:val="24"/>
              </w:rPr>
              <w:t xml:space="preserve">uwzględniona w zakresie </w:t>
            </w:r>
            <w:r w:rsidR="004C0C19">
              <w:rPr>
                <w:rFonts w:cstheme="minorHAnsi"/>
                <w:b/>
                <w:sz w:val="24"/>
                <w:szCs w:val="24"/>
              </w:rPr>
              <w:t xml:space="preserve">dodania </w:t>
            </w:r>
            <w:r w:rsidR="00D50AB9" w:rsidRPr="00C2523C">
              <w:rPr>
                <w:rFonts w:cstheme="minorHAnsi"/>
                <w:b/>
                <w:sz w:val="24"/>
                <w:szCs w:val="24"/>
              </w:rPr>
              <w:t>odrębn</w:t>
            </w:r>
            <w:r w:rsidR="004C0C19">
              <w:rPr>
                <w:rFonts w:cstheme="minorHAnsi"/>
                <w:b/>
                <w:sz w:val="24"/>
                <w:szCs w:val="24"/>
              </w:rPr>
              <w:t>ych</w:t>
            </w:r>
            <w:r w:rsidR="00D50AB9" w:rsidRPr="00C2523C">
              <w:rPr>
                <w:rFonts w:cstheme="minorHAnsi"/>
                <w:b/>
                <w:sz w:val="24"/>
                <w:szCs w:val="24"/>
              </w:rPr>
              <w:t xml:space="preserve"> jednost</w:t>
            </w:r>
            <w:r w:rsidR="004C0C19">
              <w:rPr>
                <w:rFonts w:cstheme="minorHAnsi"/>
                <w:b/>
                <w:sz w:val="24"/>
                <w:szCs w:val="24"/>
              </w:rPr>
              <w:t>ek</w:t>
            </w:r>
            <w:r w:rsidR="00D50AB9" w:rsidRPr="00C2523C">
              <w:rPr>
                <w:rFonts w:cstheme="minorHAnsi"/>
                <w:b/>
                <w:sz w:val="24"/>
                <w:szCs w:val="24"/>
              </w:rPr>
              <w:t xml:space="preserve"> redakcyjn</w:t>
            </w:r>
            <w:r w:rsidR="004C0C19">
              <w:rPr>
                <w:rFonts w:cstheme="minorHAnsi"/>
                <w:b/>
                <w:sz w:val="24"/>
                <w:szCs w:val="24"/>
              </w:rPr>
              <w:t>ych</w:t>
            </w:r>
            <w:r w:rsidR="00D50AB9" w:rsidRPr="00C2523C">
              <w:rPr>
                <w:rFonts w:cstheme="minorHAnsi"/>
                <w:b/>
                <w:sz w:val="24"/>
                <w:szCs w:val="24"/>
              </w:rPr>
              <w:br/>
            </w:r>
          </w:p>
          <w:p w14:paraId="04EFECEF" w14:textId="77777777" w:rsidR="00D50AB9" w:rsidRPr="00C2523C" w:rsidRDefault="00D50AB9">
            <w:pPr>
              <w:rPr>
                <w:rFonts w:cstheme="minorHAnsi"/>
                <w:sz w:val="24"/>
                <w:szCs w:val="24"/>
              </w:rPr>
            </w:pPr>
          </w:p>
          <w:p w14:paraId="532C429F" w14:textId="031208F8" w:rsidR="006B03CD" w:rsidRPr="00C2523C" w:rsidRDefault="00D50AB9">
            <w:pPr>
              <w:rPr>
                <w:rFonts w:cstheme="minorHAnsi"/>
                <w:b/>
                <w:sz w:val="24"/>
                <w:szCs w:val="24"/>
              </w:rPr>
            </w:pPr>
            <w:r w:rsidRPr="00C2523C">
              <w:rPr>
                <w:rFonts w:cstheme="minorHAnsi"/>
                <w:b/>
                <w:sz w:val="24"/>
                <w:szCs w:val="24"/>
              </w:rPr>
              <w:t>Uwaga uwzględn</w:t>
            </w:r>
            <w:r w:rsidR="00384BB8" w:rsidRPr="00C2523C">
              <w:rPr>
                <w:rFonts w:cstheme="minorHAnsi"/>
                <w:b/>
                <w:sz w:val="24"/>
                <w:szCs w:val="24"/>
              </w:rPr>
              <w:t xml:space="preserve">iona </w:t>
            </w:r>
            <w:r w:rsidRPr="00C2523C">
              <w:rPr>
                <w:rFonts w:cstheme="minorHAnsi"/>
                <w:b/>
                <w:sz w:val="24"/>
                <w:szCs w:val="24"/>
              </w:rPr>
              <w:t>w zakresie rozszerzenia sposobu działania sprawcy poprzez odniesienie do wiadomości multimedialnych (MMS) lub wiadomości wysyłanych za pośrednictwem innych usług łączności interpersonalne. W związku ze zmianami będzie penalizowany nie tylko „smishing”.</w:t>
            </w:r>
          </w:p>
          <w:p w14:paraId="25DC1CE5" w14:textId="77777777" w:rsidR="006B03CD" w:rsidRPr="00C2523C" w:rsidRDefault="006B03CD">
            <w:pPr>
              <w:rPr>
                <w:rFonts w:cstheme="minorHAnsi"/>
                <w:b/>
                <w:sz w:val="24"/>
                <w:szCs w:val="24"/>
              </w:rPr>
            </w:pPr>
          </w:p>
          <w:p w14:paraId="38D89317" w14:textId="14E1BAEC" w:rsidR="00D50AB9" w:rsidRPr="00C2523C" w:rsidRDefault="006B03CD">
            <w:pPr>
              <w:rPr>
                <w:rFonts w:cstheme="minorHAnsi"/>
                <w:b/>
                <w:sz w:val="24"/>
                <w:szCs w:val="24"/>
              </w:rPr>
            </w:pPr>
            <w:r w:rsidRPr="00C2523C">
              <w:rPr>
                <w:rFonts w:cstheme="minorHAnsi"/>
                <w:b/>
                <w:sz w:val="24"/>
                <w:szCs w:val="24"/>
              </w:rPr>
              <w:t>Uwaga uwzględniona w zakresie</w:t>
            </w:r>
            <w:r w:rsidR="00BF72A3" w:rsidRPr="00C2523C">
              <w:rPr>
                <w:rFonts w:cstheme="minorHAnsi"/>
                <w:b/>
                <w:sz w:val="24"/>
                <w:szCs w:val="24"/>
              </w:rPr>
              <w:t xml:space="preserve"> </w:t>
            </w:r>
            <w:r w:rsidRPr="00C2523C">
              <w:rPr>
                <w:rFonts w:cstheme="minorHAnsi"/>
                <w:b/>
                <w:sz w:val="24"/>
                <w:szCs w:val="24"/>
              </w:rPr>
              <w:t xml:space="preserve">dodania do projektowanego art. 16 ust. 1 pkt 2 i 3 odniesienia do pozyskania haseł komputerowych, kodów dostępu lub innych danych umożliwiających nieuprawniony </w:t>
            </w:r>
            <w:r w:rsidRPr="00C2523C">
              <w:rPr>
                <w:rFonts w:cstheme="minorHAnsi"/>
                <w:b/>
                <w:sz w:val="24"/>
                <w:szCs w:val="24"/>
              </w:rPr>
              <w:lastRenderedPageBreak/>
              <w:t>dostęp do informacji przechowywanych w systemie informatycznym, teleinformatycznym lub sieci teleinformatycznej.</w:t>
            </w:r>
          </w:p>
          <w:p w14:paraId="6C691E92" w14:textId="41229269" w:rsidR="00FD3498" w:rsidRPr="00C2523C" w:rsidRDefault="00FD3498" w:rsidP="00277373">
            <w:pPr>
              <w:rPr>
                <w:rFonts w:cstheme="minorHAnsi"/>
                <w:b/>
                <w:sz w:val="24"/>
                <w:szCs w:val="24"/>
              </w:rPr>
            </w:pPr>
          </w:p>
        </w:tc>
      </w:tr>
      <w:tr w:rsidR="00C2523C" w:rsidRPr="00C2523C" w14:paraId="17CC059C" w14:textId="77777777" w:rsidTr="002F0E46">
        <w:tc>
          <w:tcPr>
            <w:tcW w:w="750" w:type="dxa"/>
          </w:tcPr>
          <w:p w14:paraId="7607C435"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22FF295B" w14:textId="27313B29"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31E24487" w14:textId="71922E75" w:rsidR="00FD3498" w:rsidRPr="00C2523C" w:rsidRDefault="00FD3498" w:rsidP="00277373">
            <w:pPr>
              <w:rPr>
                <w:rFonts w:cstheme="minorHAnsi"/>
                <w:sz w:val="24"/>
                <w:szCs w:val="24"/>
              </w:rPr>
            </w:pPr>
            <w:r w:rsidRPr="00C2523C">
              <w:rPr>
                <w:rFonts w:cstheme="minorHAnsi"/>
                <w:sz w:val="24"/>
                <w:szCs w:val="24"/>
              </w:rPr>
              <w:t>Art. 16</w:t>
            </w:r>
          </w:p>
        </w:tc>
        <w:tc>
          <w:tcPr>
            <w:tcW w:w="7229" w:type="dxa"/>
          </w:tcPr>
          <w:p w14:paraId="506BB8EC" w14:textId="1AE4A776" w:rsidR="00FD3498" w:rsidRPr="00C2523C" w:rsidRDefault="00FD3498" w:rsidP="00847111">
            <w:pPr>
              <w:autoSpaceDE w:val="0"/>
              <w:autoSpaceDN w:val="0"/>
              <w:adjustRightInd w:val="0"/>
              <w:rPr>
                <w:rFonts w:cstheme="minorHAnsi"/>
                <w:sz w:val="24"/>
                <w:szCs w:val="24"/>
              </w:rPr>
            </w:pPr>
            <w:r w:rsidRPr="00C2523C">
              <w:rPr>
                <w:rFonts w:cstheme="minorHAnsi"/>
                <w:sz w:val="24"/>
                <w:szCs w:val="24"/>
              </w:rPr>
              <w:t>Ponadto należy postulować korektę pojęć projektowanych przepisów, polegającą</w:t>
            </w:r>
            <w:r w:rsidR="002C4076" w:rsidRPr="00C2523C">
              <w:rPr>
                <w:rFonts w:cstheme="minorHAnsi"/>
                <w:sz w:val="24"/>
                <w:szCs w:val="24"/>
              </w:rPr>
              <w:t xml:space="preserve"> </w:t>
            </w:r>
            <w:r w:rsidRPr="00C2523C">
              <w:rPr>
                <w:rFonts w:cstheme="minorHAnsi"/>
                <w:sz w:val="24"/>
                <w:szCs w:val="24"/>
              </w:rPr>
              <w:t xml:space="preserve">na zastąpieniu wyrażenia </w:t>
            </w:r>
            <w:r w:rsidRPr="00C2523C">
              <w:rPr>
                <w:rFonts w:cstheme="minorHAnsi"/>
                <w:i/>
                <w:iCs/>
                <w:sz w:val="24"/>
                <w:szCs w:val="24"/>
              </w:rPr>
              <w:t xml:space="preserve">„rozporządzenie majątkiem” </w:t>
            </w:r>
            <w:r w:rsidRPr="00C2523C">
              <w:rPr>
                <w:rFonts w:cstheme="minorHAnsi"/>
                <w:sz w:val="24"/>
                <w:szCs w:val="24"/>
              </w:rPr>
              <w:t>wyrażeniem „</w:t>
            </w:r>
            <w:r w:rsidRPr="00C2523C">
              <w:rPr>
                <w:rFonts w:cstheme="minorHAnsi"/>
                <w:i/>
                <w:iCs/>
                <w:sz w:val="24"/>
                <w:szCs w:val="24"/>
              </w:rPr>
              <w:t>rozporządzenie</w:t>
            </w:r>
            <w:r w:rsidR="002C4076" w:rsidRPr="00C2523C">
              <w:rPr>
                <w:rFonts w:cstheme="minorHAnsi"/>
                <w:i/>
                <w:iCs/>
                <w:sz w:val="24"/>
                <w:szCs w:val="24"/>
              </w:rPr>
              <w:t xml:space="preserve"> </w:t>
            </w:r>
            <w:r w:rsidRPr="00C2523C">
              <w:rPr>
                <w:rFonts w:cstheme="minorHAnsi"/>
                <w:i/>
                <w:iCs/>
                <w:sz w:val="24"/>
                <w:szCs w:val="24"/>
              </w:rPr>
              <w:t xml:space="preserve">mieniem”, </w:t>
            </w:r>
            <w:r w:rsidRPr="00C2523C">
              <w:rPr>
                <w:rFonts w:cstheme="minorHAnsi"/>
                <w:sz w:val="24"/>
                <w:szCs w:val="24"/>
              </w:rPr>
              <w:t>zaś wyrażenia „</w:t>
            </w:r>
            <w:r w:rsidRPr="00C2523C">
              <w:rPr>
                <w:rFonts w:cstheme="minorHAnsi"/>
                <w:i/>
                <w:iCs/>
                <w:sz w:val="24"/>
                <w:szCs w:val="24"/>
              </w:rPr>
              <w:t xml:space="preserve">przekierowanie na stronę www” </w:t>
            </w:r>
            <w:r w:rsidRPr="00C2523C">
              <w:rPr>
                <w:rFonts w:cstheme="minorHAnsi"/>
                <w:sz w:val="24"/>
                <w:szCs w:val="24"/>
              </w:rPr>
              <w:t>wyrażeniem „</w:t>
            </w:r>
            <w:r w:rsidRPr="00C2523C">
              <w:rPr>
                <w:rFonts w:cstheme="minorHAnsi"/>
                <w:i/>
                <w:iCs/>
                <w:sz w:val="24"/>
                <w:szCs w:val="24"/>
              </w:rPr>
              <w:t>przekierowanie na</w:t>
            </w:r>
            <w:r w:rsidR="00847111" w:rsidRPr="00C2523C">
              <w:rPr>
                <w:rFonts w:cstheme="minorHAnsi"/>
                <w:i/>
                <w:iCs/>
                <w:sz w:val="24"/>
                <w:szCs w:val="24"/>
              </w:rPr>
              <w:t xml:space="preserve"> </w:t>
            </w:r>
            <w:r w:rsidRPr="00C2523C">
              <w:rPr>
                <w:rFonts w:cstheme="minorHAnsi"/>
                <w:i/>
                <w:iCs/>
                <w:sz w:val="24"/>
                <w:szCs w:val="24"/>
              </w:rPr>
              <w:t>stronę internetową”</w:t>
            </w:r>
            <w:r w:rsidRPr="00C2523C">
              <w:rPr>
                <w:rFonts w:cstheme="minorHAnsi"/>
                <w:sz w:val="24"/>
                <w:szCs w:val="24"/>
              </w:rPr>
              <w:t xml:space="preserve">. Pojęcie </w:t>
            </w:r>
            <w:r w:rsidRPr="00C2523C">
              <w:rPr>
                <w:rFonts w:cstheme="minorHAnsi"/>
                <w:i/>
                <w:iCs/>
                <w:sz w:val="24"/>
                <w:szCs w:val="24"/>
              </w:rPr>
              <w:t xml:space="preserve">strony internetowej </w:t>
            </w:r>
            <w:r w:rsidRPr="00C2523C">
              <w:rPr>
                <w:rFonts w:cstheme="minorHAnsi"/>
                <w:sz w:val="24"/>
                <w:szCs w:val="24"/>
              </w:rPr>
              <w:t>posiada bowiem definicję legalną określoną</w:t>
            </w:r>
            <w:r w:rsidR="002C4076" w:rsidRPr="00C2523C">
              <w:rPr>
                <w:rFonts w:cstheme="minorHAnsi"/>
                <w:sz w:val="24"/>
                <w:szCs w:val="24"/>
              </w:rPr>
              <w:t xml:space="preserve"> </w:t>
            </w:r>
            <w:r w:rsidRPr="00C2523C">
              <w:rPr>
                <w:rFonts w:cstheme="minorHAnsi"/>
                <w:sz w:val="24"/>
                <w:szCs w:val="24"/>
              </w:rPr>
              <w:t xml:space="preserve">w </w:t>
            </w:r>
            <w:r w:rsidRPr="00C2523C">
              <w:rPr>
                <w:rFonts w:cstheme="minorHAnsi"/>
                <w:i/>
                <w:iCs/>
                <w:sz w:val="24"/>
                <w:szCs w:val="24"/>
              </w:rPr>
              <w:t xml:space="preserve">ustawie </w:t>
            </w:r>
            <w:r w:rsidRPr="00C2523C">
              <w:rPr>
                <w:rFonts w:cstheme="minorHAnsi"/>
                <w:sz w:val="24"/>
                <w:szCs w:val="24"/>
              </w:rPr>
              <w:t xml:space="preserve">z dnia 4 kwietnia 2019 r. </w:t>
            </w:r>
            <w:r w:rsidRPr="00C2523C">
              <w:rPr>
                <w:rFonts w:cstheme="minorHAnsi"/>
                <w:i/>
                <w:iCs/>
                <w:sz w:val="24"/>
                <w:szCs w:val="24"/>
              </w:rPr>
              <w:t>o dostępności cyfrowej stron internetowych i aplikacji</w:t>
            </w:r>
            <w:r w:rsidR="002C4076" w:rsidRPr="00C2523C">
              <w:rPr>
                <w:rFonts w:cstheme="minorHAnsi"/>
                <w:i/>
                <w:iCs/>
                <w:sz w:val="24"/>
                <w:szCs w:val="24"/>
              </w:rPr>
              <w:t xml:space="preserve"> </w:t>
            </w:r>
            <w:r w:rsidRPr="00C2523C">
              <w:rPr>
                <w:rFonts w:cstheme="minorHAnsi"/>
                <w:i/>
                <w:iCs/>
                <w:sz w:val="24"/>
                <w:szCs w:val="24"/>
              </w:rPr>
              <w:t xml:space="preserve">mobilnych podmiotów publicznych </w:t>
            </w:r>
            <w:r w:rsidRPr="00C2523C">
              <w:rPr>
                <w:rFonts w:cstheme="minorHAnsi"/>
                <w:sz w:val="24"/>
                <w:szCs w:val="24"/>
              </w:rPr>
              <w:t>(Dz. U. z 2021 r. poz. 576, z późn. zm.)</w:t>
            </w:r>
            <w:r w:rsidRPr="00C2523C">
              <w:rPr>
                <w:rFonts w:cstheme="minorHAnsi"/>
                <w:sz w:val="16"/>
                <w:szCs w:val="16"/>
              </w:rPr>
              <w:t>1</w:t>
            </w:r>
            <w:r w:rsidRPr="00C2523C">
              <w:rPr>
                <w:rFonts w:cstheme="minorHAnsi"/>
                <w:sz w:val="24"/>
                <w:szCs w:val="24"/>
              </w:rPr>
              <w:t>.</w:t>
            </w:r>
            <w:r w:rsidR="00847111" w:rsidRPr="00C2523C">
              <w:rPr>
                <w:rFonts w:cstheme="minorHAnsi"/>
                <w:sz w:val="24"/>
                <w:szCs w:val="24"/>
              </w:rPr>
              <w:t xml:space="preserve"> </w:t>
            </w:r>
            <w:r w:rsidRPr="00C2523C">
              <w:rPr>
                <w:rFonts w:cstheme="minorHAnsi"/>
                <w:sz w:val="24"/>
                <w:szCs w:val="24"/>
              </w:rPr>
              <w:t xml:space="preserve">Dodatkowo należy wskazać, że określenie przymiotnikowe </w:t>
            </w:r>
            <w:r w:rsidRPr="00C2523C">
              <w:rPr>
                <w:rFonts w:cstheme="minorHAnsi"/>
                <w:i/>
                <w:iCs/>
                <w:sz w:val="24"/>
                <w:szCs w:val="24"/>
              </w:rPr>
              <w:t xml:space="preserve">nieświadome </w:t>
            </w:r>
            <w:r w:rsidRPr="00C2523C">
              <w:rPr>
                <w:rFonts w:cstheme="minorHAnsi"/>
                <w:sz w:val="24"/>
                <w:szCs w:val="24"/>
              </w:rPr>
              <w:t>w odniesieniu</w:t>
            </w:r>
            <w:r w:rsidR="002C4076" w:rsidRPr="00C2523C">
              <w:rPr>
                <w:rFonts w:cstheme="minorHAnsi"/>
                <w:sz w:val="24"/>
                <w:szCs w:val="24"/>
              </w:rPr>
              <w:t xml:space="preserve"> </w:t>
            </w:r>
            <w:r w:rsidRPr="00C2523C">
              <w:rPr>
                <w:rFonts w:cstheme="minorHAnsi"/>
                <w:sz w:val="24"/>
                <w:szCs w:val="24"/>
              </w:rPr>
              <w:t>do rozporządzenia majątkiem zawęża obszar kryminalizacji. Analizy metod działania</w:t>
            </w:r>
            <w:r w:rsidR="002C4076" w:rsidRPr="00C2523C">
              <w:rPr>
                <w:rFonts w:cstheme="minorHAnsi"/>
                <w:sz w:val="24"/>
                <w:szCs w:val="24"/>
              </w:rPr>
              <w:t xml:space="preserve"> </w:t>
            </w:r>
            <w:r w:rsidRPr="00C2523C">
              <w:rPr>
                <w:rFonts w:cstheme="minorHAnsi"/>
                <w:sz w:val="24"/>
                <w:szCs w:val="24"/>
              </w:rPr>
              <w:t xml:space="preserve">sprawców wskazują, że pokrzywdzony jest nakłaniany do </w:t>
            </w:r>
            <w:r w:rsidRPr="00C2523C">
              <w:rPr>
                <w:rFonts w:cstheme="minorHAnsi"/>
                <w:sz w:val="24"/>
                <w:szCs w:val="24"/>
              </w:rPr>
              <w:lastRenderedPageBreak/>
              <w:t>rozporządzenia mieniem w wyniku</w:t>
            </w:r>
            <w:r w:rsidR="002C4076" w:rsidRPr="00C2523C">
              <w:rPr>
                <w:rFonts w:cstheme="minorHAnsi"/>
                <w:sz w:val="24"/>
                <w:szCs w:val="24"/>
              </w:rPr>
              <w:t xml:space="preserve"> </w:t>
            </w:r>
            <w:r w:rsidRPr="00C2523C">
              <w:rPr>
                <w:rFonts w:cstheme="minorHAnsi"/>
                <w:sz w:val="24"/>
                <w:szCs w:val="24"/>
              </w:rPr>
              <w:t>wprowadzenia go w błąd co do podmiotu, na rzecz którego dokonuje rozporządzenia. Zatem</w:t>
            </w:r>
            <w:r w:rsidR="002C4076" w:rsidRPr="00C2523C">
              <w:rPr>
                <w:rFonts w:cstheme="minorHAnsi"/>
                <w:sz w:val="24"/>
                <w:szCs w:val="24"/>
              </w:rPr>
              <w:t xml:space="preserve"> </w:t>
            </w:r>
            <w:r w:rsidRPr="00C2523C">
              <w:rPr>
                <w:rFonts w:cstheme="minorHAnsi"/>
                <w:sz w:val="24"/>
                <w:szCs w:val="24"/>
              </w:rPr>
              <w:t>znamiona czynu określonego w art. 16 ust. 1 pkt 2 powinny obejmować zarówno świadome,</w:t>
            </w:r>
            <w:r w:rsidR="002C4076" w:rsidRPr="00C2523C">
              <w:rPr>
                <w:rFonts w:cstheme="minorHAnsi"/>
                <w:sz w:val="24"/>
                <w:szCs w:val="24"/>
              </w:rPr>
              <w:t xml:space="preserve"> </w:t>
            </w:r>
            <w:r w:rsidRPr="00C2523C">
              <w:rPr>
                <w:rFonts w:cstheme="minorHAnsi"/>
                <w:sz w:val="24"/>
                <w:szCs w:val="24"/>
              </w:rPr>
              <w:t>jak i nieświadome rozporządzenia mieniem.</w:t>
            </w:r>
            <w:r w:rsidR="00847111" w:rsidRPr="00C2523C">
              <w:rPr>
                <w:rFonts w:cstheme="minorHAnsi"/>
                <w:sz w:val="24"/>
                <w:szCs w:val="24"/>
              </w:rPr>
              <w:t xml:space="preserve"> </w:t>
            </w:r>
            <w:r w:rsidRPr="00C2523C">
              <w:rPr>
                <w:rFonts w:cstheme="minorHAnsi"/>
                <w:sz w:val="24"/>
                <w:szCs w:val="24"/>
              </w:rPr>
              <w:t>Analogiczne zmiany powinny zostać wprowadzone w art. 3 projektu.</w:t>
            </w:r>
            <w:r w:rsidR="00847111" w:rsidRPr="00C2523C">
              <w:rPr>
                <w:rFonts w:cstheme="minorHAnsi"/>
                <w:sz w:val="24"/>
                <w:szCs w:val="24"/>
              </w:rPr>
              <w:t xml:space="preserve"> </w:t>
            </w:r>
            <w:r w:rsidRPr="00C2523C">
              <w:rPr>
                <w:rFonts w:cstheme="minorHAnsi"/>
                <w:sz w:val="24"/>
                <w:szCs w:val="24"/>
              </w:rPr>
              <w:t>Cel działania wskazany w art. 3 ust. 3 projektowanej ustawy, jakim jest doprowadzenie</w:t>
            </w:r>
            <w:r w:rsidR="002C4076" w:rsidRPr="00C2523C">
              <w:rPr>
                <w:rFonts w:cstheme="minorHAnsi"/>
                <w:sz w:val="24"/>
                <w:szCs w:val="24"/>
              </w:rPr>
              <w:t xml:space="preserve"> </w:t>
            </w:r>
            <w:r w:rsidRPr="00C2523C">
              <w:rPr>
                <w:rFonts w:cstheme="minorHAnsi"/>
                <w:sz w:val="24"/>
                <w:szCs w:val="24"/>
              </w:rPr>
              <w:t>pokrzywdzonego do rozporządzenia mieniem powinien znaleźć odzwierciedlenie także w treści</w:t>
            </w:r>
            <w:r w:rsidR="002C4076" w:rsidRPr="00C2523C">
              <w:rPr>
                <w:rFonts w:cstheme="minorHAnsi"/>
                <w:sz w:val="24"/>
                <w:szCs w:val="24"/>
              </w:rPr>
              <w:t xml:space="preserve"> </w:t>
            </w:r>
            <w:r w:rsidRPr="00C2523C">
              <w:rPr>
                <w:rFonts w:cstheme="minorHAnsi"/>
                <w:sz w:val="24"/>
                <w:szCs w:val="24"/>
              </w:rPr>
              <w:t>art. 16 ust. 1 pkt 3.</w:t>
            </w:r>
          </w:p>
        </w:tc>
        <w:tc>
          <w:tcPr>
            <w:tcW w:w="3509" w:type="dxa"/>
          </w:tcPr>
          <w:p w14:paraId="3B158D10" w14:textId="06061210" w:rsidR="00FD3498" w:rsidRPr="00C2523C" w:rsidRDefault="009C3F88" w:rsidP="00277373">
            <w:pPr>
              <w:rPr>
                <w:rFonts w:cstheme="minorHAnsi"/>
                <w:b/>
                <w:sz w:val="24"/>
                <w:szCs w:val="24"/>
              </w:rPr>
            </w:pPr>
            <w:r w:rsidRPr="00C2523C">
              <w:rPr>
                <w:rFonts w:cstheme="minorHAnsi"/>
                <w:b/>
                <w:sz w:val="24"/>
                <w:szCs w:val="24"/>
              </w:rPr>
              <w:lastRenderedPageBreak/>
              <w:t>Uwagi</w:t>
            </w:r>
            <w:r w:rsidR="0025625B" w:rsidRPr="00C2523C">
              <w:rPr>
                <w:rFonts w:cstheme="minorHAnsi"/>
                <w:b/>
                <w:sz w:val="24"/>
                <w:szCs w:val="24"/>
              </w:rPr>
              <w:t xml:space="preserve"> częściowo</w:t>
            </w:r>
            <w:r w:rsidRPr="00C2523C">
              <w:rPr>
                <w:rFonts w:cstheme="minorHAnsi"/>
                <w:b/>
                <w:sz w:val="24"/>
                <w:szCs w:val="24"/>
              </w:rPr>
              <w:t xml:space="preserve"> uwzględnione</w:t>
            </w:r>
          </w:p>
          <w:p w14:paraId="58E9A0ED" w14:textId="77777777" w:rsidR="002E15A0" w:rsidRPr="00C2523C" w:rsidRDefault="002E15A0" w:rsidP="00277373">
            <w:pPr>
              <w:rPr>
                <w:rFonts w:cstheme="minorHAnsi"/>
                <w:sz w:val="24"/>
                <w:szCs w:val="24"/>
              </w:rPr>
            </w:pPr>
            <w:r w:rsidRPr="00C2523C">
              <w:rPr>
                <w:rFonts w:cstheme="minorHAnsi"/>
                <w:sz w:val="24"/>
                <w:szCs w:val="24"/>
              </w:rPr>
              <w:t>Strona www zostanie zastąpiona stroną internetową</w:t>
            </w:r>
          </w:p>
          <w:p w14:paraId="51474029" w14:textId="1F6A0935" w:rsidR="002E15A0" w:rsidRPr="00C2523C" w:rsidRDefault="0025625B">
            <w:pPr>
              <w:rPr>
                <w:rFonts w:cstheme="minorHAnsi"/>
                <w:sz w:val="24"/>
                <w:szCs w:val="24"/>
              </w:rPr>
            </w:pPr>
            <w:r w:rsidRPr="00C2523C">
              <w:rPr>
                <w:rFonts w:cstheme="minorHAnsi"/>
                <w:sz w:val="24"/>
                <w:szCs w:val="24"/>
              </w:rPr>
              <w:t>Sformułowanie „r</w:t>
            </w:r>
            <w:r w:rsidR="002E15A0" w:rsidRPr="00C2523C">
              <w:rPr>
                <w:rFonts w:cstheme="minorHAnsi"/>
                <w:sz w:val="24"/>
                <w:szCs w:val="24"/>
              </w:rPr>
              <w:t>ozporządzenie majątkiem</w:t>
            </w:r>
            <w:r w:rsidRPr="00C2523C">
              <w:rPr>
                <w:rFonts w:cstheme="minorHAnsi"/>
                <w:sz w:val="24"/>
                <w:szCs w:val="24"/>
              </w:rPr>
              <w:t>” zostaje pozostawione bez zmian.</w:t>
            </w:r>
            <w:r w:rsidR="002E15A0" w:rsidRPr="00C2523C">
              <w:rPr>
                <w:rFonts w:cstheme="minorHAnsi"/>
                <w:sz w:val="24"/>
                <w:szCs w:val="24"/>
              </w:rPr>
              <w:t xml:space="preserve"> </w:t>
            </w:r>
            <w:r w:rsidRPr="00C2523C">
              <w:rPr>
                <w:rFonts w:cstheme="minorHAnsi"/>
                <w:sz w:val="24"/>
                <w:szCs w:val="24"/>
              </w:rPr>
              <w:t xml:space="preserve">W ocenie projektodawcy takie brzmienie przepisu zapewni szerszą ochronę przed nadużyciami w komunikacji elektronicznej. </w:t>
            </w:r>
            <w:r w:rsidR="00E804DD" w:rsidRPr="00C2523C">
              <w:rPr>
                <w:rFonts w:cstheme="minorHAnsi"/>
                <w:sz w:val="24"/>
                <w:szCs w:val="24"/>
              </w:rPr>
              <w:t xml:space="preserve">Jest to pojęcie </w:t>
            </w:r>
            <w:r w:rsidR="00E804DD" w:rsidRPr="00C2523C">
              <w:rPr>
                <w:rFonts w:cstheme="minorHAnsi"/>
                <w:sz w:val="24"/>
                <w:szCs w:val="24"/>
              </w:rPr>
              <w:lastRenderedPageBreak/>
              <w:t xml:space="preserve">powszechnie używane i rozumiane oraz szersze niż mienie. </w:t>
            </w:r>
          </w:p>
          <w:p w14:paraId="4FA21352" w14:textId="04FD7452" w:rsidR="002E15A0" w:rsidRPr="00C2523C" w:rsidRDefault="002E15A0">
            <w:pPr>
              <w:rPr>
                <w:rFonts w:cstheme="minorHAnsi"/>
                <w:b/>
                <w:sz w:val="24"/>
                <w:szCs w:val="24"/>
              </w:rPr>
            </w:pPr>
            <w:r w:rsidRPr="00C2523C">
              <w:rPr>
                <w:rFonts w:cstheme="minorHAnsi"/>
                <w:sz w:val="24"/>
                <w:szCs w:val="24"/>
              </w:rPr>
              <w:t xml:space="preserve">Usunięty zostanie przymiotnik „nieświadome” a w uzasadnieniu zostanie dopisane, że </w:t>
            </w:r>
            <w:r w:rsidR="00DF7442" w:rsidRPr="00C2523C">
              <w:rPr>
                <w:rFonts w:cstheme="minorHAnsi"/>
                <w:sz w:val="24"/>
                <w:szCs w:val="24"/>
              </w:rPr>
              <w:t>czyn będzie obejmował świadome i nieświadome rozporządzenie mieniem.</w:t>
            </w:r>
          </w:p>
        </w:tc>
      </w:tr>
      <w:tr w:rsidR="00C2523C" w:rsidRPr="00C2523C" w14:paraId="44D525F3" w14:textId="77777777" w:rsidTr="002F0E46">
        <w:tc>
          <w:tcPr>
            <w:tcW w:w="750" w:type="dxa"/>
          </w:tcPr>
          <w:p w14:paraId="1759E229" w14:textId="3575331F"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6E45ECD3" w14:textId="2F7063E4"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0B9B41C2" w14:textId="08AA2CC3" w:rsidR="0041244E" w:rsidRPr="00C2523C" w:rsidRDefault="0041244E" w:rsidP="00277373">
            <w:pPr>
              <w:rPr>
                <w:rFonts w:cstheme="minorHAnsi"/>
                <w:sz w:val="24"/>
                <w:szCs w:val="24"/>
              </w:rPr>
            </w:pPr>
            <w:r w:rsidRPr="00C2523C">
              <w:rPr>
                <w:rFonts w:cstheme="minorHAnsi"/>
                <w:sz w:val="24"/>
                <w:szCs w:val="24"/>
              </w:rPr>
              <w:t>Art. 17</w:t>
            </w:r>
          </w:p>
        </w:tc>
        <w:tc>
          <w:tcPr>
            <w:tcW w:w="7229" w:type="dxa"/>
          </w:tcPr>
          <w:p w14:paraId="5E36608E" w14:textId="437D60DC" w:rsidR="0041244E" w:rsidRPr="00C2523C" w:rsidRDefault="0041244E" w:rsidP="00847111">
            <w:pPr>
              <w:autoSpaceDE w:val="0"/>
              <w:autoSpaceDN w:val="0"/>
              <w:adjustRightInd w:val="0"/>
              <w:rPr>
                <w:rFonts w:cstheme="minorHAnsi"/>
                <w:sz w:val="24"/>
                <w:szCs w:val="24"/>
              </w:rPr>
            </w:pPr>
            <w:r w:rsidRPr="00C2523C">
              <w:rPr>
                <w:rFonts w:cstheme="minorHAnsi"/>
                <w:sz w:val="24"/>
                <w:szCs w:val="24"/>
              </w:rPr>
              <w:t>19) wyjaśnienia wymaga pominięcie przez Projektodawcę kwestii przedstawiania przez</w:t>
            </w:r>
            <w:r w:rsidR="006A3FA5" w:rsidRPr="00C2523C">
              <w:rPr>
                <w:rFonts w:cstheme="minorHAnsi"/>
                <w:sz w:val="24"/>
                <w:szCs w:val="24"/>
              </w:rPr>
              <w:t xml:space="preserve"> </w:t>
            </w:r>
            <w:r w:rsidRPr="00C2523C">
              <w:rPr>
                <w:rFonts w:cstheme="minorHAnsi"/>
                <w:sz w:val="24"/>
                <w:szCs w:val="24"/>
              </w:rPr>
              <w:t>Prezesa UKE corocznego sprawozdania ministrowi właściwemu do spraw informatyzacji</w:t>
            </w:r>
            <w:r w:rsidR="006A3FA5" w:rsidRPr="00C2523C">
              <w:rPr>
                <w:rFonts w:cstheme="minorHAnsi"/>
                <w:sz w:val="24"/>
                <w:szCs w:val="24"/>
              </w:rPr>
              <w:t xml:space="preserve"> </w:t>
            </w:r>
            <w:r w:rsidRPr="00C2523C">
              <w:rPr>
                <w:rFonts w:cstheme="minorHAnsi"/>
                <w:sz w:val="24"/>
                <w:szCs w:val="24"/>
              </w:rPr>
              <w:t>(art. 17 projektu);</w:t>
            </w:r>
          </w:p>
        </w:tc>
        <w:tc>
          <w:tcPr>
            <w:tcW w:w="3509" w:type="dxa"/>
          </w:tcPr>
          <w:p w14:paraId="475B01CF" w14:textId="77777777" w:rsidR="00C66D66" w:rsidRPr="00C2523C" w:rsidRDefault="00C66D66" w:rsidP="00277373">
            <w:pPr>
              <w:rPr>
                <w:rFonts w:cstheme="minorHAnsi"/>
                <w:b/>
                <w:sz w:val="24"/>
                <w:szCs w:val="24"/>
              </w:rPr>
            </w:pPr>
            <w:r w:rsidRPr="00C2523C">
              <w:rPr>
                <w:rFonts w:cstheme="minorHAnsi"/>
                <w:b/>
                <w:sz w:val="24"/>
                <w:szCs w:val="24"/>
              </w:rPr>
              <w:t>Uwaga uwzględniona</w:t>
            </w:r>
          </w:p>
          <w:p w14:paraId="67230073" w14:textId="358504CA" w:rsidR="0041244E" w:rsidRPr="00C2523C" w:rsidRDefault="00C66D66" w:rsidP="00277373">
            <w:pPr>
              <w:rPr>
                <w:rFonts w:cstheme="minorHAnsi"/>
                <w:sz w:val="24"/>
                <w:szCs w:val="24"/>
              </w:rPr>
            </w:pPr>
            <w:r w:rsidRPr="00C2523C">
              <w:rPr>
                <w:rFonts w:cstheme="minorHAnsi"/>
                <w:sz w:val="24"/>
                <w:szCs w:val="24"/>
              </w:rPr>
              <w:t>Uzupełniono projektowany przepis o obowiązek przedstawienia sprawozdania również ministrowi właściwemu ds. informatyzacji.</w:t>
            </w:r>
          </w:p>
        </w:tc>
      </w:tr>
      <w:tr w:rsidR="00C2523C" w:rsidRPr="00C2523C" w14:paraId="6CF64B9A" w14:textId="77777777" w:rsidTr="002F0E46">
        <w:tc>
          <w:tcPr>
            <w:tcW w:w="750" w:type="dxa"/>
          </w:tcPr>
          <w:p w14:paraId="780F04D8" w14:textId="09614363" w:rsidR="00EF641D" w:rsidRPr="00C2523C" w:rsidRDefault="00EF641D"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7339CA20" w14:textId="6551485A" w:rsidR="00EF641D" w:rsidRPr="00C2523C" w:rsidRDefault="00EF641D" w:rsidP="00277373">
            <w:pPr>
              <w:rPr>
                <w:rFonts w:cstheme="minorHAnsi"/>
                <w:sz w:val="24"/>
                <w:szCs w:val="24"/>
              </w:rPr>
            </w:pPr>
            <w:r w:rsidRPr="00C2523C">
              <w:rPr>
                <w:rFonts w:cstheme="minorHAnsi"/>
                <w:sz w:val="24"/>
                <w:szCs w:val="24"/>
              </w:rPr>
              <w:t>MON</w:t>
            </w:r>
          </w:p>
        </w:tc>
        <w:tc>
          <w:tcPr>
            <w:tcW w:w="1328" w:type="dxa"/>
          </w:tcPr>
          <w:p w14:paraId="1F56C197" w14:textId="5379D694" w:rsidR="00EF641D" w:rsidRPr="00C2523C" w:rsidRDefault="00EF641D" w:rsidP="00277373">
            <w:pPr>
              <w:rPr>
                <w:rFonts w:cstheme="minorHAnsi"/>
                <w:sz w:val="24"/>
                <w:szCs w:val="24"/>
              </w:rPr>
            </w:pPr>
            <w:r w:rsidRPr="00C2523C">
              <w:rPr>
                <w:rFonts w:cstheme="minorHAnsi"/>
                <w:sz w:val="24"/>
                <w:szCs w:val="24"/>
              </w:rPr>
              <w:t>Art. 17a</w:t>
            </w:r>
          </w:p>
        </w:tc>
        <w:tc>
          <w:tcPr>
            <w:tcW w:w="7229" w:type="dxa"/>
          </w:tcPr>
          <w:p w14:paraId="0429C1DD" w14:textId="77777777" w:rsidR="00EF641D" w:rsidRPr="00C2523C" w:rsidRDefault="00EF641D" w:rsidP="00EF641D">
            <w:pPr>
              <w:numPr>
                <w:ilvl w:val="0"/>
                <w:numId w:val="10"/>
              </w:numPr>
              <w:rPr>
                <w:rFonts w:cstheme="minorHAnsi"/>
                <w:sz w:val="24"/>
                <w:szCs w:val="24"/>
              </w:rPr>
            </w:pPr>
            <w:r w:rsidRPr="00C2523C">
              <w:rPr>
                <w:rFonts w:cstheme="minorHAnsi"/>
                <w:sz w:val="24"/>
                <w:szCs w:val="24"/>
              </w:rPr>
              <w:t xml:space="preserve">W następstwie uwzględnienia proponowanego brzmienia art. 12 ust. 5 i 6 niezbędnym jest dodanie w projekcie po art. 17 przepisów zmieniających </w:t>
            </w:r>
            <w:r w:rsidRPr="00C2523C">
              <w:rPr>
                <w:rFonts w:cstheme="minorHAnsi"/>
                <w:i/>
                <w:sz w:val="24"/>
                <w:szCs w:val="24"/>
              </w:rPr>
              <w:t xml:space="preserve">ustawę z dnia 24 sierpnia 2001 r. o Żandarmerii Wojskowej i wojskowych organach porządkowych (Dz. U. z 2021 r. poz. 1214, z późn. zm.), </w:t>
            </w:r>
            <w:r w:rsidRPr="00C2523C">
              <w:rPr>
                <w:rFonts w:cstheme="minorHAnsi"/>
                <w:sz w:val="24"/>
                <w:szCs w:val="24"/>
              </w:rPr>
              <w:t>w brzmieniu:</w:t>
            </w:r>
          </w:p>
          <w:p w14:paraId="50FEE372" w14:textId="77777777" w:rsidR="00EF641D" w:rsidRPr="00C2523C" w:rsidRDefault="00EF641D" w:rsidP="00EF641D">
            <w:pPr>
              <w:rPr>
                <w:rFonts w:cstheme="minorHAnsi"/>
                <w:sz w:val="24"/>
                <w:szCs w:val="24"/>
              </w:rPr>
            </w:pPr>
          </w:p>
          <w:p w14:paraId="5D68740A" w14:textId="77777777" w:rsidR="00EF641D" w:rsidRPr="00C2523C" w:rsidRDefault="00EF641D" w:rsidP="00EF641D">
            <w:pPr>
              <w:rPr>
                <w:rFonts w:cstheme="minorHAnsi"/>
                <w:i/>
                <w:sz w:val="24"/>
                <w:szCs w:val="24"/>
              </w:rPr>
            </w:pPr>
            <w:r w:rsidRPr="00C2523C">
              <w:rPr>
                <w:rFonts w:cstheme="minorHAnsi"/>
                <w:i/>
                <w:sz w:val="24"/>
                <w:szCs w:val="24"/>
              </w:rPr>
              <w:t>„</w:t>
            </w:r>
            <w:r w:rsidRPr="00C2523C">
              <w:rPr>
                <w:rFonts w:cstheme="minorHAnsi"/>
                <w:b/>
                <w:i/>
                <w:sz w:val="24"/>
                <w:szCs w:val="24"/>
              </w:rPr>
              <w:t>Art. 17a.</w:t>
            </w:r>
            <w:r w:rsidRPr="00C2523C">
              <w:rPr>
                <w:rFonts w:cstheme="minorHAnsi"/>
                <w:i/>
                <w:sz w:val="24"/>
                <w:szCs w:val="24"/>
              </w:rPr>
              <w:t> W ustawie z dnia 24 sierpnia 2001 r. o Żandarmerii Wojskowej i wojskowych organach porządkowych (Dz. U. z 2021 r. poz. 1214 oraz z 2022 r. poz. 655) w art. 30 wprowadza się następujące zmiany:</w:t>
            </w:r>
          </w:p>
          <w:p w14:paraId="0B38857E" w14:textId="77777777" w:rsidR="00EF641D" w:rsidRPr="00C2523C" w:rsidRDefault="00EF641D" w:rsidP="00EF641D">
            <w:pPr>
              <w:rPr>
                <w:rFonts w:cstheme="minorHAnsi"/>
                <w:i/>
                <w:sz w:val="24"/>
                <w:szCs w:val="24"/>
              </w:rPr>
            </w:pPr>
            <w:r w:rsidRPr="00C2523C">
              <w:rPr>
                <w:rFonts w:cstheme="minorHAnsi"/>
                <w:i/>
                <w:sz w:val="24"/>
                <w:szCs w:val="24"/>
              </w:rPr>
              <w:t>1) w ust. 1 po pkt 3 dodaje się pkt 4 w brzmieniu:</w:t>
            </w:r>
          </w:p>
          <w:p w14:paraId="1265EECB" w14:textId="77777777" w:rsidR="00EF641D" w:rsidRPr="00C2523C" w:rsidRDefault="00EF641D" w:rsidP="00EF641D">
            <w:pPr>
              <w:rPr>
                <w:rFonts w:cstheme="minorHAnsi"/>
                <w:i/>
                <w:sz w:val="24"/>
                <w:szCs w:val="24"/>
              </w:rPr>
            </w:pPr>
            <w:r w:rsidRPr="00C2523C">
              <w:rPr>
                <w:rFonts w:cstheme="minorHAnsi"/>
                <w:i/>
                <w:sz w:val="24"/>
                <w:szCs w:val="24"/>
              </w:rPr>
              <w:t>„4) art. 12 ust. 5 ustawy z dnia … o zwalczaniu nadużyć w komunikacji elektronicznej (Dz. U. poz. …);”;</w:t>
            </w:r>
          </w:p>
          <w:p w14:paraId="6B86A82D" w14:textId="77777777" w:rsidR="00EF641D" w:rsidRPr="00C2523C" w:rsidRDefault="00EF641D" w:rsidP="00EF641D">
            <w:pPr>
              <w:rPr>
                <w:rFonts w:cstheme="minorHAnsi"/>
                <w:i/>
                <w:sz w:val="24"/>
                <w:szCs w:val="24"/>
              </w:rPr>
            </w:pPr>
            <w:r w:rsidRPr="00C2523C">
              <w:rPr>
                <w:rFonts w:cstheme="minorHAnsi"/>
                <w:i/>
                <w:sz w:val="24"/>
                <w:szCs w:val="24"/>
              </w:rPr>
              <w:t>2) w ust. 3 po wyrazach „pkt 3” dodaje się wyrazy: „i 4”.</w:t>
            </w:r>
          </w:p>
          <w:p w14:paraId="0B0C30FA" w14:textId="2DC951E0" w:rsidR="00EF641D" w:rsidRPr="00C2523C" w:rsidRDefault="00EF641D" w:rsidP="00277373">
            <w:pPr>
              <w:rPr>
                <w:rFonts w:cstheme="minorHAnsi"/>
                <w:sz w:val="24"/>
                <w:szCs w:val="24"/>
              </w:rPr>
            </w:pPr>
          </w:p>
        </w:tc>
        <w:tc>
          <w:tcPr>
            <w:tcW w:w="3509" w:type="dxa"/>
          </w:tcPr>
          <w:p w14:paraId="6DBFAA54" w14:textId="2A9A9545" w:rsidR="00612A7A" w:rsidRPr="00C2523C" w:rsidRDefault="00612A7A" w:rsidP="00277373">
            <w:pPr>
              <w:rPr>
                <w:rFonts w:cstheme="minorHAnsi"/>
                <w:b/>
                <w:sz w:val="24"/>
                <w:szCs w:val="24"/>
              </w:rPr>
            </w:pPr>
            <w:r w:rsidRPr="00C2523C">
              <w:rPr>
                <w:rFonts w:cstheme="minorHAnsi"/>
                <w:b/>
                <w:sz w:val="24"/>
                <w:szCs w:val="24"/>
              </w:rPr>
              <w:t>Uwaga nieuwzględniona</w:t>
            </w:r>
            <w:r w:rsidR="006B03CD" w:rsidRPr="00C2523C">
              <w:rPr>
                <w:rFonts w:cstheme="minorHAnsi"/>
                <w:b/>
                <w:sz w:val="24"/>
                <w:szCs w:val="24"/>
              </w:rPr>
              <w:t xml:space="preserve"> w zw. z nieuwzględnieniem uwagi dot. art. 12 ust. 5 i 6</w:t>
            </w:r>
          </w:p>
          <w:p w14:paraId="6FF76A2A" w14:textId="77777777" w:rsidR="00EF641D" w:rsidRPr="00C2523C" w:rsidRDefault="00EF641D" w:rsidP="002F0E46">
            <w:pPr>
              <w:ind w:firstLine="708"/>
              <w:rPr>
                <w:rFonts w:cstheme="minorHAnsi"/>
                <w:sz w:val="24"/>
                <w:szCs w:val="24"/>
              </w:rPr>
            </w:pPr>
          </w:p>
        </w:tc>
      </w:tr>
      <w:tr w:rsidR="00C2523C" w:rsidRPr="00C2523C" w14:paraId="3107CB00" w14:textId="77777777" w:rsidTr="002F0E46">
        <w:tc>
          <w:tcPr>
            <w:tcW w:w="750" w:type="dxa"/>
          </w:tcPr>
          <w:p w14:paraId="3FBF5326" w14:textId="23B8C845" w:rsidR="00EF641D" w:rsidRPr="00C2523C" w:rsidRDefault="00EF641D"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29E5AA8E" w14:textId="2C918466" w:rsidR="00EF641D" w:rsidRPr="00C2523C" w:rsidRDefault="0041244E" w:rsidP="00277373">
            <w:pPr>
              <w:rPr>
                <w:rFonts w:cstheme="minorHAnsi"/>
                <w:sz w:val="24"/>
                <w:szCs w:val="24"/>
              </w:rPr>
            </w:pPr>
            <w:r w:rsidRPr="00C2523C">
              <w:rPr>
                <w:rFonts w:cstheme="minorHAnsi"/>
                <w:sz w:val="24"/>
                <w:szCs w:val="24"/>
              </w:rPr>
              <w:t>RCL</w:t>
            </w:r>
          </w:p>
        </w:tc>
        <w:tc>
          <w:tcPr>
            <w:tcW w:w="1328" w:type="dxa"/>
          </w:tcPr>
          <w:p w14:paraId="5B9D0013" w14:textId="0B08D3C2" w:rsidR="00EF641D" w:rsidRPr="00C2523C" w:rsidRDefault="0041244E" w:rsidP="00277373">
            <w:pPr>
              <w:rPr>
                <w:rFonts w:cstheme="minorHAnsi"/>
                <w:sz w:val="24"/>
                <w:szCs w:val="24"/>
              </w:rPr>
            </w:pPr>
            <w:r w:rsidRPr="00C2523C">
              <w:rPr>
                <w:rFonts w:cstheme="minorHAnsi"/>
                <w:sz w:val="24"/>
                <w:szCs w:val="24"/>
              </w:rPr>
              <w:t>Art. 19</w:t>
            </w:r>
          </w:p>
        </w:tc>
        <w:tc>
          <w:tcPr>
            <w:tcW w:w="7229" w:type="dxa"/>
          </w:tcPr>
          <w:p w14:paraId="6ACCC394" w14:textId="6A80AAA8" w:rsidR="00EF641D" w:rsidRPr="00C2523C" w:rsidRDefault="0041244E" w:rsidP="002F0E46">
            <w:pPr>
              <w:autoSpaceDE w:val="0"/>
              <w:autoSpaceDN w:val="0"/>
              <w:adjustRightInd w:val="0"/>
              <w:rPr>
                <w:rFonts w:cstheme="minorHAnsi"/>
                <w:sz w:val="24"/>
                <w:szCs w:val="24"/>
              </w:rPr>
            </w:pPr>
            <w:r w:rsidRPr="00C2523C">
              <w:rPr>
                <w:rFonts w:cstheme="minorHAnsi"/>
                <w:sz w:val="24"/>
                <w:szCs w:val="24"/>
              </w:rPr>
              <w:t>20) zgodnie z art. 19 ust. 3 - Komendant Główny Policji, Prezes UKE i przedsiębiorcy</w:t>
            </w:r>
            <w:r w:rsidR="006A3FA5" w:rsidRPr="00C2523C">
              <w:rPr>
                <w:rFonts w:cstheme="minorHAnsi"/>
                <w:sz w:val="24"/>
                <w:szCs w:val="24"/>
              </w:rPr>
              <w:t xml:space="preserve"> </w:t>
            </w:r>
            <w:r w:rsidRPr="00C2523C">
              <w:rPr>
                <w:rFonts w:cstheme="minorHAnsi"/>
                <w:sz w:val="24"/>
                <w:szCs w:val="24"/>
              </w:rPr>
              <w:t>telekomunikacyjni obowiązani są do podłączenia się do systemu, o którym mowa w art. 4</w:t>
            </w:r>
            <w:r w:rsidR="006A3FA5" w:rsidRPr="00C2523C">
              <w:rPr>
                <w:rFonts w:cstheme="minorHAnsi"/>
                <w:sz w:val="24"/>
                <w:szCs w:val="24"/>
              </w:rPr>
              <w:t xml:space="preserve"> </w:t>
            </w:r>
            <w:r w:rsidRPr="00C2523C">
              <w:rPr>
                <w:rFonts w:cstheme="minorHAnsi"/>
                <w:sz w:val="24"/>
                <w:szCs w:val="24"/>
              </w:rPr>
              <w:t>ust. 3, w terminie 3 miesięcy od dnia udostępnienia przez ministra właściwego do spraw</w:t>
            </w:r>
            <w:r w:rsidR="006A3FA5" w:rsidRPr="00C2523C">
              <w:rPr>
                <w:rFonts w:cstheme="minorHAnsi"/>
                <w:sz w:val="24"/>
                <w:szCs w:val="24"/>
              </w:rPr>
              <w:t xml:space="preserve"> </w:t>
            </w:r>
            <w:r w:rsidRPr="00C2523C">
              <w:rPr>
                <w:rFonts w:cstheme="minorHAnsi"/>
                <w:sz w:val="24"/>
                <w:szCs w:val="24"/>
              </w:rPr>
              <w:t>informatyzacji informacji o uruchomieniu tego systemu – zauważyć jednak należy, że</w:t>
            </w:r>
            <w:r w:rsidR="006A3FA5" w:rsidRPr="00C2523C">
              <w:rPr>
                <w:rFonts w:cstheme="minorHAnsi"/>
                <w:sz w:val="24"/>
                <w:szCs w:val="24"/>
              </w:rPr>
              <w:t xml:space="preserve"> </w:t>
            </w:r>
            <w:r w:rsidRPr="00C2523C">
              <w:rPr>
                <w:rFonts w:cstheme="minorHAnsi"/>
                <w:sz w:val="24"/>
                <w:szCs w:val="24"/>
              </w:rPr>
              <w:t>przepisy projektowanej ustawy nie regulują kwestii obowiązku „podłączania się” do systemu</w:t>
            </w:r>
            <w:r w:rsidR="006A3FA5" w:rsidRPr="00C2523C">
              <w:rPr>
                <w:rFonts w:cstheme="minorHAnsi"/>
                <w:sz w:val="24"/>
                <w:szCs w:val="24"/>
              </w:rPr>
              <w:t xml:space="preserve"> </w:t>
            </w:r>
            <w:r w:rsidRPr="00C2523C">
              <w:rPr>
                <w:rFonts w:cstheme="minorHAnsi"/>
                <w:sz w:val="24"/>
                <w:szCs w:val="24"/>
              </w:rPr>
              <w:t>teleinformatycznego CSIRT NASK, co wymaga uzupełnienia.</w:t>
            </w:r>
          </w:p>
        </w:tc>
        <w:tc>
          <w:tcPr>
            <w:tcW w:w="3509" w:type="dxa"/>
          </w:tcPr>
          <w:p w14:paraId="0BB7AD9A" w14:textId="77777777" w:rsidR="006A3FA5" w:rsidRPr="00C2523C" w:rsidRDefault="006A3FA5" w:rsidP="00277373">
            <w:pPr>
              <w:rPr>
                <w:rFonts w:cstheme="minorHAnsi"/>
                <w:b/>
                <w:sz w:val="24"/>
                <w:szCs w:val="24"/>
              </w:rPr>
            </w:pPr>
            <w:r w:rsidRPr="00C2523C">
              <w:rPr>
                <w:rFonts w:cstheme="minorHAnsi"/>
                <w:b/>
                <w:sz w:val="24"/>
                <w:szCs w:val="24"/>
              </w:rPr>
              <w:t>Uwaga uwzględniona</w:t>
            </w:r>
          </w:p>
          <w:p w14:paraId="4C77F53C" w14:textId="54C473E1" w:rsidR="00EF641D" w:rsidRPr="00C2523C" w:rsidRDefault="006A3FA5" w:rsidP="00277373">
            <w:pPr>
              <w:rPr>
                <w:rFonts w:cstheme="minorHAnsi"/>
                <w:sz w:val="24"/>
                <w:szCs w:val="24"/>
              </w:rPr>
            </w:pPr>
            <w:r w:rsidRPr="00C2523C">
              <w:rPr>
                <w:rFonts w:cstheme="minorHAnsi"/>
                <w:sz w:val="24"/>
                <w:szCs w:val="24"/>
              </w:rPr>
              <w:t>Zostanie dodany przepis, zgodnie z którym przedsiębiorcy telekomunikacyjni, Komendant Główny Policji, Prezes UKE obowiązani są do korzystania z systemu teleinformatycznego, mającego na celu wymianę wzorców.</w:t>
            </w:r>
          </w:p>
        </w:tc>
      </w:tr>
      <w:tr w:rsidR="00C2523C" w:rsidRPr="00C2523C" w14:paraId="05BBC6A0" w14:textId="77777777" w:rsidTr="0048678E">
        <w:trPr>
          <w:trHeight w:val="4810"/>
        </w:trPr>
        <w:tc>
          <w:tcPr>
            <w:tcW w:w="750" w:type="dxa"/>
          </w:tcPr>
          <w:p w14:paraId="520761FB"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0046CA21" w14:textId="21FC9710"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36C515B4" w14:textId="3C02156C" w:rsidR="00FD3498" w:rsidRPr="00C2523C" w:rsidRDefault="00FD3498" w:rsidP="00277373">
            <w:pPr>
              <w:rPr>
                <w:rFonts w:cstheme="minorHAnsi"/>
                <w:sz w:val="24"/>
                <w:szCs w:val="24"/>
              </w:rPr>
            </w:pPr>
            <w:r w:rsidRPr="00C2523C">
              <w:rPr>
                <w:rFonts w:cstheme="minorHAnsi"/>
                <w:sz w:val="24"/>
                <w:szCs w:val="24"/>
              </w:rPr>
              <w:t>OSR</w:t>
            </w:r>
          </w:p>
        </w:tc>
        <w:tc>
          <w:tcPr>
            <w:tcW w:w="7229" w:type="dxa"/>
          </w:tcPr>
          <w:p w14:paraId="1F35AB53" w14:textId="76D24F51"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Podkreślenia wymaga, że przedstawiony projekt ustawy nakłada na sądownictwo</w:t>
            </w:r>
            <w:r w:rsidR="00BA54DC" w:rsidRPr="00C2523C">
              <w:rPr>
                <w:rFonts w:cstheme="minorHAnsi"/>
                <w:sz w:val="24"/>
                <w:szCs w:val="24"/>
              </w:rPr>
              <w:t xml:space="preserve"> </w:t>
            </w:r>
            <w:r w:rsidRPr="00C2523C">
              <w:rPr>
                <w:rFonts w:cstheme="minorHAnsi"/>
                <w:sz w:val="24"/>
                <w:szCs w:val="24"/>
              </w:rPr>
              <w:t xml:space="preserve">powszechne </w:t>
            </w:r>
            <w:r w:rsidRPr="00C2523C">
              <w:rPr>
                <w:rFonts w:cstheme="minorHAnsi"/>
                <w:b/>
                <w:bCs/>
                <w:sz w:val="24"/>
                <w:szCs w:val="24"/>
              </w:rPr>
              <w:t>całkowicie nowe obowiązki</w:t>
            </w:r>
            <w:r w:rsidRPr="00C2523C">
              <w:rPr>
                <w:rFonts w:cstheme="minorHAnsi"/>
                <w:sz w:val="24"/>
                <w:szCs w:val="24"/>
              </w:rPr>
              <w:t>. Tym samym oczywistym jest, że ich realizacja musi</w:t>
            </w:r>
            <w:r w:rsidR="00BA54DC" w:rsidRPr="00C2523C">
              <w:rPr>
                <w:rFonts w:cstheme="minorHAnsi"/>
                <w:sz w:val="24"/>
                <w:szCs w:val="24"/>
              </w:rPr>
              <w:t xml:space="preserve"> </w:t>
            </w:r>
            <w:r w:rsidRPr="00C2523C">
              <w:rPr>
                <w:rFonts w:cstheme="minorHAnsi"/>
                <w:sz w:val="24"/>
                <w:szCs w:val="24"/>
              </w:rPr>
              <w:t>wiązać się ze wzmocnieniem etatowym. Nowe obowiązki powodują bowiem zwiększenie zadań i tak już znacznie obciążonego sądownictwa, a w związku z tym nie można oczekiwać, że będą</w:t>
            </w:r>
            <w:r w:rsidR="00BA54DC" w:rsidRPr="00C2523C">
              <w:rPr>
                <w:rFonts w:cstheme="minorHAnsi"/>
                <w:sz w:val="24"/>
                <w:szCs w:val="24"/>
              </w:rPr>
              <w:t xml:space="preserve"> </w:t>
            </w:r>
            <w:r w:rsidRPr="00C2523C">
              <w:rPr>
                <w:rFonts w:cstheme="minorHAnsi"/>
                <w:sz w:val="24"/>
                <w:szCs w:val="24"/>
              </w:rPr>
              <w:t>one realizowane obecnymi zasobami kadrowymi bez pogorszenia sprawności postępowań.</w:t>
            </w:r>
          </w:p>
          <w:p w14:paraId="2F69830F" w14:textId="202097B5"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W OSR wśród podmiotów, na które może oddziaływać projekt ustawy, nie ma</w:t>
            </w:r>
            <w:r w:rsidR="00BA54DC" w:rsidRPr="00C2523C">
              <w:rPr>
                <w:rFonts w:cstheme="minorHAnsi"/>
                <w:sz w:val="24"/>
                <w:szCs w:val="24"/>
              </w:rPr>
              <w:t xml:space="preserve"> </w:t>
            </w:r>
            <w:r w:rsidRPr="00C2523C">
              <w:rPr>
                <w:rFonts w:cstheme="minorHAnsi"/>
                <w:sz w:val="24"/>
                <w:szCs w:val="24"/>
              </w:rPr>
              <w:t>SO w Warszawie – SOKiK oraz Sądu Apelacyjnego w Warszawie. Podkreślić trzeba, że takie</w:t>
            </w:r>
            <w:r w:rsidR="00BA54DC" w:rsidRPr="00C2523C">
              <w:rPr>
                <w:rFonts w:cstheme="minorHAnsi"/>
                <w:sz w:val="24"/>
                <w:szCs w:val="24"/>
              </w:rPr>
              <w:t xml:space="preserve"> </w:t>
            </w:r>
            <w:r w:rsidRPr="00C2523C">
              <w:rPr>
                <w:rFonts w:cstheme="minorHAnsi"/>
                <w:sz w:val="24"/>
                <w:szCs w:val="24"/>
              </w:rPr>
              <w:t>oddziaływanie może wystąpić, biorąc pod uwagę możliwość odwołania od decyzji Prezesa</w:t>
            </w:r>
            <w:r w:rsidR="00BA54DC" w:rsidRPr="00C2523C">
              <w:rPr>
                <w:rFonts w:cstheme="minorHAnsi"/>
                <w:sz w:val="24"/>
                <w:szCs w:val="24"/>
              </w:rPr>
              <w:t xml:space="preserve"> </w:t>
            </w:r>
            <w:r w:rsidRPr="00C2523C">
              <w:rPr>
                <w:rFonts w:cstheme="minorHAnsi"/>
                <w:sz w:val="24"/>
                <w:szCs w:val="24"/>
              </w:rPr>
              <w:t xml:space="preserve">UKE w przedmiocie kary pieniężnej – określonej w </w:t>
            </w:r>
            <w:r w:rsidRPr="00C2523C">
              <w:rPr>
                <w:rFonts w:cstheme="minorHAnsi"/>
                <w:b/>
                <w:bCs/>
                <w:sz w:val="24"/>
                <w:szCs w:val="24"/>
              </w:rPr>
              <w:t xml:space="preserve">art. 15 </w:t>
            </w:r>
            <w:r w:rsidRPr="00C2523C">
              <w:rPr>
                <w:rFonts w:cstheme="minorHAnsi"/>
                <w:sz w:val="24"/>
                <w:szCs w:val="24"/>
              </w:rPr>
              <w:t>– na podstawie art. 206 ust. 2 pkt 3</w:t>
            </w:r>
            <w:r w:rsidR="00BA54DC" w:rsidRPr="00C2523C">
              <w:rPr>
                <w:rFonts w:cstheme="minorHAnsi"/>
                <w:i/>
                <w:iCs/>
                <w:sz w:val="24"/>
                <w:szCs w:val="24"/>
              </w:rPr>
              <w:t xml:space="preserve"> </w:t>
            </w:r>
            <w:r w:rsidRPr="00C2523C">
              <w:rPr>
                <w:rFonts w:cstheme="minorHAnsi"/>
                <w:i/>
                <w:iCs/>
                <w:sz w:val="24"/>
                <w:szCs w:val="24"/>
              </w:rPr>
              <w:t>Prawa telekomunikacyjnego</w:t>
            </w:r>
            <w:r w:rsidRPr="00C2523C">
              <w:rPr>
                <w:rFonts w:cstheme="minorHAnsi"/>
                <w:sz w:val="24"/>
                <w:szCs w:val="24"/>
              </w:rPr>
              <w:t>.</w:t>
            </w:r>
            <w:r w:rsidR="002E3127" w:rsidRPr="00C2523C">
              <w:rPr>
                <w:rFonts w:cstheme="minorHAnsi"/>
                <w:sz w:val="24"/>
                <w:szCs w:val="24"/>
              </w:rPr>
              <w:t xml:space="preserve"> </w:t>
            </w:r>
            <w:r w:rsidRPr="00C2523C">
              <w:rPr>
                <w:rFonts w:cstheme="minorHAnsi"/>
                <w:sz w:val="24"/>
                <w:szCs w:val="24"/>
              </w:rPr>
              <w:t>Konieczność oszacowania wpływu projektowanych rozwiązań na SOKiK, wynika także</w:t>
            </w:r>
            <w:r w:rsidR="00BA54DC" w:rsidRPr="00C2523C">
              <w:rPr>
                <w:rFonts w:cstheme="minorHAnsi"/>
                <w:sz w:val="24"/>
                <w:szCs w:val="24"/>
              </w:rPr>
              <w:t xml:space="preserve"> </w:t>
            </w:r>
            <w:r w:rsidRPr="00C2523C">
              <w:rPr>
                <w:rFonts w:cstheme="minorHAnsi"/>
                <w:sz w:val="24"/>
                <w:szCs w:val="24"/>
              </w:rPr>
              <w:t>z rozwiązania przyjętego w art. 10 ust. 4 i art. 12 ust. 4. Przepisy te zawierają odesłanie</w:t>
            </w:r>
            <w:r w:rsidR="00B80DA6" w:rsidRPr="00C2523C">
              <w:rPr>
                <w:rFonts w:cstheme="minorHAnsi"/>
                <w:sz w:val="24"/>
                <w:szCs w:val="24"/>
              </w:rPr>
              <w:t xml:space="preserve"> </w:t>
            </w:r>
            <w:r w:rsidRPr="00C2523C">
              <w:rPr>
                <w:rFonts w:cstheme="minorHAnsi"/>
                <w:sz w:val="24"/>
                <w:szCs w:val="24"/>
              </w:rPr>
              <w:t xml:space="preserve">do przepisów </w:t>
            </w:r>
            <w:r w:rsidRPr="00C2523C">
              <w:rPr>
                <w:rFonts w:cstheme="minorHAnsi"/>
                <w:i/>
                <w:iCs/>
                <w:sz w:val="24"/>
                <w:szCs w:val="24"/>
              </w:rPr>
              <w:t xml:space="preserve">Prawa telekomunikacyjnego </w:t>
            </w:r>
            <w:r w:rsidRPr="00C2523C">
              <w:rPr>
                <w:rFonts w:cstheme="minorHAnsi"/>
                <w:sz w:val="24"/>
                <w:szCs w:val="24"/>
              </w:rPr>
              <w:t>o kontroli, przy czym zastrzeżenia budzi już sama</w:t>
            </w:r>
            <w:r w:rsidR="00B80DA6" w:rsidRPr="00C2523C">
              <w:rPr>
                <w:rFonts w:cstheme="minorHAnsi"/>
                <w:sz w:val="24"/>
                <w:szCs w:val="24"/>
              </w:rPr>
              <w:t xml:space="preserve"> </w:t>
            </w:r>
            <w:r w:rsidRPr="00C2523C">
              <w:rPr>
                <w:rFonts w:cstheme="minorHAnsi"/>
                <w:sz w:val="24"/>
                <w:szCs w:val="24"/>
              </w:rPr>
              <w:t xml:space="preserve">ogólnikowość takiego odesłania. </w:t>
            </w:r>
            <w:r w:rsidRPr="00C2523C">
              <w:rPr>
                <w:rFonts w:cstheme="minorHAnsi"/>
                <w:i/>
                <w:iCs/>
                <w:sz w:val="24"/>
                <w:szCs w:val="24"/>
              </w:rPr>
              <w:t xml:space="preserve">Prawo telekomunikacyjne </w:t>
            </w:r>
            <w:r w:rsidRPr="00C2523C">
              <w:rPr>
                <w:rFonts w:cstheme="minorHAnsi"/>
                <w:sz w:val="24"/>
                <w:szCs w:val="24"/>
              </w:rPr>
              <w:t>obejmuje szereg takich przepisów,</w:t>
            </w:r>
            <w:r w:rsidR="00B80DA6" w:rsidRPr="00C2523C">
              <w:rPr>
                <w:rFonts w:cstheme="minorHAnsi"/>
                <w:sz w:val="24"/>
                <w:szCs w:val="24"/>
              </w:rPr>
              <w:t xml:space="preserve"> </w:t>
            </w:r>
            <w:r w:rsidRPr="00C2523C">
              <w:rPr>
                <w:rFonts w:cstheme="minorHAnsi"/>
                <w:sz w:val="24"/>
                <w:szCs w:val="24"/>
              </w:rPr>
              <w:t xml:space="preserve">przy czym w większości znajdują się one w rozdziale 2 </w:t>
            </w:r>
            <w:r w:rsidRPr="00C2523C">
              <w:rPr>
                <w:rFonts w:cstheme="minorHAnsi"/>
                <w:i/>
                <w:iCs/>
                <w:sz w:val="24"/>
                <w:szCs w:val="24"/>
              </w:rPr>
              <w:t>Kontrola i postępowanie kontrolne</w:t>
            </w:r>
            <w:r w:rsidRPr="00C2523C">
              <w:rPr>
                <w:rFonts w:cstheme="minorHAnsi"/>
                <w:sz w:val="24"/>
                <w:szCs w:val="24"/>
              </w:rPr>
              <w:t>.</w:t>
            </w:r>
            <w:r w:rsidR="002E3127" w:rsidRPr="00C2523C">
              <w:rPr>
                <w:rFonts w:cstheme="minorHAnsi"/>
                <w:sz w:val="24"/>
                <w:szCs w:val="24"/>
              </w:rPr>
              <w:t xml:space="preserve"> </w:t>
            </w:r>
            <w:r w:rsidRPr="00C2523C">
              <w:rPr>
                <w:rFonts w:cstheme="minorHAnsi"/>
                <w:sz w:val="24"/>
                <w:szCs w:val="24"/>
              </w:rPr>
              <w:t xml:space="preserve">Przepis art. 201 </w:t>
            </w:r>
            <w:r w:rsidRPr="00C2523C">
              <w:rPr>
                <w:rFonts w:cstheme="minorHAnsi"/>
                <w:i/>
                <w:iCs/>
                <w:sz w:val="24"/>
                <w:szCs w:val="24"/>
              </w:rPr>
              <w:t xml:space="preserve">Prawa telekomunikacyjnego </w:t>
            </w:r>
            <w:r w:rsidRPr="00C2523C">
              <w:rPr>
                <w:rFonts w:cstheme="minorHAnsi"/>
                <w:sz w:val="24"/>
                <w:szCs w:val="24"/>
              </w:rPr>
              <w:t>przewiduje podstawę do wydania przez Prezesa</w:t>
            </w:r>
            <w:r w:rsidR="00B80DA6" w:rsidRPr="00C2523C">
              <w:rPr>
                <w:rFonts w:cstheme="minorHAnsi"/>
                <w:sz w:val="24"/>
                <w:szCs w:val="24"/>
              </w:rPr>
              <w:t xml:space="preserve"> </w:t>
            </w:r>
            <w:r w:rsidRPr="00C2523C">
              <w:rPr>
                <w:rFonts w:cstheme="minorHAnsi"/>
                <w:sz w:val="24"/>
                <w:szCs w:val="24"/>
              </w:rPr>
              <w:t xml:space="preserve">URE decyzji o nałożeniu kary </w:t>
            </w:r>
            <w:r w:rsidRPr="00C2523C">
              <w:rPr>
                <w:rFonts w:cstheme="minorHAnsi"/>
                <w:sz w:val="24"/>
                <w:szCs w:val="24"/>
              </w:rPr>
              <w:lastRenderedPageBreak/>
              <w:t>pieniężnej, o której mowa w art. 209, w przypadku stwierdzenia</w:t>
            </w:r>
            <w:r w:rsidR="00B80DA6" w:rsidRPr="00C2523C">
              <w:rPr>
                <w:rFonts w:cstheme="minorHAnsi"/>
                <w:sz w:val="24"/>
                <w:szCs w:val="24"/>
              </w:rPr>
              <w:t xml:space="preserve"> </w:t>
            </w:r>
            <w:r w:rsidRPr="00C2523C">
              <w:rPr>
                <w:rFonts w:cstheme="minorHAnsi"/>
                <w:sz w:val="24"/>
                <w:szCs w:val="24"/>
              </w:rPr>
              <w:t>naruszeń obowiązków wynikających z przepisów prawa lub decyzji wydanej przez Prezesa</w:t>
            </w:r>
            <w:r w:rsidR="00B80DA6" w:rsidRPr="00C2523C">
              <w:rPr>
                <w:rFonts w:cstheme="minorHAnsi"/>
                <w:sz w:val="24"/>
                <w:szCs w:val="24"/>
              </w:rPr>
              <w:t xml:space="preserve"> </w:t>
            </w:r>
            <w:r w:rsidRPr="00C2523C">
              <w:rPr>
                <w:rFonts w:cstheme="minorHAnsi"/>
                <w:sz w:val="24"/>
                <w:szCs w:val="24"/>
              </w:rPr>
              <w:t xml:space="preserve">UKE. Zgodnie z art. 206 ust. 2 pkt 3 </w:t>
            </w:r>
            <w:r w:rsidRPr="00C2523C">
              <w:rPr>
                <w:rFonts w:cstheme="minorHAnsi"/>
                <w:i/>
                <w:iCs/>
                <w:sz w:val="24"/>
                <w:szCs w:val="24"/>
              </w:rPr>
              <w:t xml:space="preserve">Prawa telekomunikacyjnego </w:t>
            </w:r>
            <w:r w:rsidRPr="00C2523C">
              <w:rPr>
                <w:rFonts w:cstheme="minorHAnsi"/>
                <w:sz w:val="24"/>
                <w:szCs w:val="24"/>
              </w:rPr>
              <w:t>decyzja taka podlega</w:t>
            </w:r>
            <w:r w:rsidR="00B80DA6" w:rsidRPr="00C2523C">
              <w:rPr>
                <w:rFonts w:cstheme="minorHAnsi"/>
                <w:sz w:val="24"/>
                <w:szCs w:val="24"/>
              </w:rPr>
              <w:t xml:space="preserve"> </w:t>
            </w:r>
            <w:r w:rsidRPr="00C2523C">
              <w:rPr>
                <w:rFonts w:cstheme="minorHAnsi"/>
                <w:sz w:val="24"/>
                <w:szCs w:val="24"/>
              </w:rPr>
              <w:t>zaskarżeniu do SOKiK.</w:t>
            </w:r>
          </w:p>
          <w:p w14:paraId="7DD59024" w14:textId="77777777"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 xml:space="preserve">Ponadto </w:t>
            </w:r>
            <w:r w:rsidRPr="00C2523C">
              <w:rPr>
                <w:rFonts w:cstheme="minorHAnsi"/>
                <w:b/>
                <w:bCs/>
                <w:sz w:val="24"/>
                <w:szCs w:val="24"/>
              </w:rPr>
              <w:t xml:space="preserve">art. 16 ust. 1 i 2 </w:t>
            </w:r>
            <w:r w:rsidRPr="00C2523C">
              <w:rPr>
                <w:rFonts w:cstheme="minorHAnsi"/>
                <w:sz w:val="24"/>
                <w:szCs w:val="24"/>
              </w:rPr>
              <w:t>penalizuje trzy nadużycia w komunikacji elektronicznej.</w:t>
            </w:r>
          </w:p>
          <w:p w14:paraId="12F925F5" w14:textId="04F4C57D"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Powoduje to rozszerzenie kognicji wydziałów karnych w sądach powszechnych, zarówno w I, jak</w:t>
            </w:r>
            <w:r w:rsidR="00B80DA6" w:rsidRPr="00C2523C">
              <w:rPr>
                <w:rFonts w:cstheme="minorHAnsi"/>
                <w:sz w:val="24"/>
                <w:szCs w:val="24"/>
              </w:rPr>
              <w:t xml:space="preserve"> </w:t>
            </w:r>
            <w:r w:rsidRPr="00C2523C">
              <w:rPr>
                <w:rFonts w:cstheme="minorHAnsi"/>
                <w:sz w:val="24"/>
                <w:szCs w:val="24"/>
              </w:rPr>
              <w:t>też II instancji, co nie zostało wskazane w uzasadnieniu projektu.</w:t>
            </w:r>
          </w:p>
          <w:p w14:paraId="7C9F7242" w14:textId="7D39DB6C" w:rsidR="00B80DA6" w:rsidRPr="00C2523C" w:rsidRDefault="00FD3498" w:rsidP="00FD3498">
            <w:pPr>
              <w:autoSpaceDE w:val="0"/>
              <w:autoSpaceDN w:val="0"/>
              <w:adjustRightInd w:val="0"/>
              <w:rPr>
                <w:rFonts w:cstheme="minorHAnsi"/>
                <w:sz w:val="24"/>
                <w:szCs w:val="24"/>
              </w:rPr>
            </w:pPr>
            <w:r w:rsidRPr="00C2523C">
              <w:rPr>
                <w:rFonts w:cstheme="minorHAnsi"/>
                <w:sz w:val="24"/>
                <w:szCs w:val="24"/>
              </w:rPr>
              <w:t>Podkreślenia wymaga, że wzrost liczby spraw nie może zostać precyzyjnie oszacowany,</w:t>
            </w:r>
            <w:r w:rsidR="00B80DA6" w:rsidRPr="00C2523C">
              <w:rPr>
                <w:rFonts w:cstheme="minorHAnsi"/>
                <w:sz w:val="24"/>
                <w:szCs w:val="24"/>
              </w:rPr>
              <w:t xml:space="preserve"> </w:t>
            </w:r>
            <w:r w:rsidRPr="00C2523C">
              <w:rPr>
                <w:rFonts w:cstheme="minorHAnsi"/>
                <w:sz w:val="24"/>
                <w:szCs w:val="24"/>
              </w:rPr>
              <w:t>albowiem przewidziane projektem ustawy instytucje są nowe i brak jest jakichkolwiek danych</w:t>
            </w:r>
            <w:r w:rsidR="00B80DA6" w:rsidRPr="00C2523C">
              <w:rPr>
                <w:rFonts w:cstheme="minorHAnsi"/>
                <w:sz w:val="24"/>
                <w:szCs w:val="24"/>
              </w:rPr>
              <w:t xml:space="preserve"> </w:t>
            </w:r>
            <w:r w:rsidRPr="00C2523C">
              <w:rPr>
                <w:rFonts w:cstheme="minorHAnsi"/>
                <w:sz w:val="24"/>
                <w:szCs w:val="24"/>
              </w:rPr>
              <w:t>umożliwiających oszacowanie tej wartości. Nadto, ani w uzasadnieniu projektu, ani w OSR nie</w:t>
            </w:r>
            <w:r w:rsidR="00B80DA6" w:rsidRPr="00C2523C">
              <w:rPr>
                <w:rFonts w:cstheme="minorHAnsi"/>
                <w:sz w:val="24"/>
                <w:szCs w:val="24"/>
              </w:rPr>
              <w:t xml:space="preserve"> </w:t>
            </w:r>
            <w:r w:rsidRPr="00C2523C">
              <w:rPr>
                <w:rFonts w:cstheme="minorHAnsi"/>
                <w:sz w:val="24"/>
                <w:szCs w:val="24"/>
              </w:rPr>
              <w:t>zostały podane jakiekolwiek dane pozwalające na choćby hipotetyczne określenie liczby spraw,</w:t>
            </w:r>
            <w:r w:rsidR="00B80DA6" w:rsidRPr="00C2523C">
              <w:rPr>
                <w:rFonts w:cstheme="minorHAnsi"/>
                <w:sz w:val="24"/>
                <w:szCs w:val="24"/>
              </w:rPr>
              <w:t xml:space="preserve"> </w:t>
            </w:r>
            <w:r w:rsidRPr="00C2523C">
              <w:rPr>
                <w:rFonts w:cstheme="minorHAnsi"/>
                <w:sz w:val="24"/>
                <w:szCs w:val="24"/>
              </w:rPr>
              <w:t>które trafią do sądów. Oczywistym jest, że wsparcie etatowe jest konieczne, albowiem</w:t>
            </w:r>
            <w:r w:rsidR="00B80DA6" w:rsidRPr="00C2523C">
              <w:rPr>
                <w:rFonts w:cstheme="minorHAnsi"/>
                <w:sz w:val="24"/>
                <w:szCs w:val="24"/>
              </w:rPr>
              <w:t xml:space="preserve"> </w:t>
            </w:r>
            <w:r w:rsidRPr="00C2523C">
              <w:rPr>
                <w:rFonts w:cstheme="minorHAnsi"/>
                <w:sz w:val="24"/>
                <w:szCs w:val="24"/>
              </w:rPr>
              <w:t>komunikacja elektroniczna stanowi narzędzie powszechnie wykorzystywane w życiu codziennym</w:t>
            </w:r>
            <w:r w:rsidR="00B80DA6" w:rsidRPr="00C2523C">
              <w:rPr>
                <w:rFonts w:cstheme="minorHAnsi"/>
                <w:sz w:val="24"/>
                <w:szCs w:val="24"/>
              </w:rPr>
              <w:t xml:space="preserve"> </w:t>
            </w:r>
            <w:r w:rsidRPr="00C2523C">
              <w:rPr>
                <w:rFonts w:cstheme="minorHAnsi"/>
                <w:sz w:val="24"/>
                <w:szCs w:val="24"/>
              </w:rPr>
              <w:t>przez współczesne społeczeństwo informacyjne i penalizowane czyny mogą występować bardzo</w:t>
            </w:r>
            <w:r w:rsidR="00B80DA6" w:rsidRPr="00C2523C">
              <w:rPr>
                <w:rFonts w:cstheme="minorHAnsi"/>
                <w:sz w:val="24"/>
                <w:szCs w:val="24"/>
              </w:rPr>
              <w:t xml:space="preserve"> </w:t>
            </w:r>
            <w:r w:rsidRPr="00C2523C">
              <w:rPr>
                <w:rFonts w:cstheme="minorHAnsi"/>
                <w:sz w:val="24"/>
                <w:szCs w:val="24"/>
              </w:rPr>
              <w:t>często. Z usług dostarczanych przez przedsiębiorców telekomunikacyjnych korzysta wiele</w:t>
            </w:r>
            <w:r w:rsidR="00B80DA6" w:rsidRPr="00C2523C">
              <w:rPr>
                <w:rFonts w:cstheme="minorHAnsi"/>
                <w:sz w:val="24"/>
                <w:szCs w:val="24"/>
              </w:rPr>
              <w:t xml:space="preserve"> </w:t>
            </w:r>
            <w:r w:rsidRPr="00C2523C">
              <w:rPr>
                <w:rFonts w:cstheme="minorHAnsi"/>
                <w:sz w:val="24"/>
                <w:szCs w:val="24"/>
              </w:rPr>
              <w:t>milionów osób. Usługi te są również coraz szerzej i w sposób bardziej wyszukany</w:t>
            </w:r>
            <w:r w:rsidR="00B80DA6" w:rsidRPr="00C2523C">
              <w:rPr>
                <w:rFonts w:cstheme="minorHAnsi"/>
                <w:sz w:val="24"/>
                <w:szCs w:val="24"/>
              </w:rPr>
              <w:t xml:space="preserve"> </w:t>
            </w:r>
            <w:r w:rsidRPr="00C2523C">
              <w:rPr>
                <w:rFonts w:cstheme="minorHAnsi"/>
                <w:sz w:val="24"/>
                <w:szCs w:val="24"/>
              </w:rPr>
              <w:t>wykorzystywane przez przestępców w celu wyrządzenia szkód po stronie przedsiębiorców</w:t>
            </w:r>
            <w:r w:rsidR="00B80DA6" w:rsidRPr="00C2523C">
              <w:rPr>
                <w:rFonts w:cstheme="minorHAnsi"/>
                <w:sz w:val="24"/>
                <w:szCs w:val="24"/>
              </w:rPr>
              <w:t xml:space="preserve"> </w:t>
            </w:r>
            <w:r w:rsidRPr="00C2523C">
              <w:rPr>
                <w:rFonts w:cstheme="minorHAnsi"/>
                <w:sz w:val="24"/>
                <w:szCs w:val="24"/>
              </w:rPr>
              <w:t>telekomunikacyjnych, użytkowników końcowych oraz osiągnięcia nienależnych korzyści.</w:t>
            </w:r>
            <w:r w:rsidR="00B80DA6" w:rsidRPr="00C2523C">
              <w:rPr>
                <w:rFonts w:cstheme="minorHAnsi"/>
                <w:sz w:val="24"/>
                <w:szCs w:val="24"/>
              </w:rPr>
              <w:t xml:space="preserve"> </w:t>
            </w:r>
          </w:p>
          <w:p w14:paraId="3C8F1FCF" w14:textId="346F473C" w:rsidR="00FD3498" w:rsidRPr="00C2523C" w:rsidRDefault="00FD3498" w:rsidP="00FD3498">
            <w:pPr>
              <w:autoSpaceDE w:val="0"/>
              <w:autoSpaceDN w:val="0"/>
              <w:adjustRightInd w:val="0"/>
              <w:rPr>
                <w:rFonts w:cstheme="minorHAnsi"/>
                <w:b/>
                <w:bCs/>
                <w:sz w:val="24"/>
                <w:szCs w:val="24"/>
              </w:rPr>
            </w:pPr>
            <w:r w:rsidRPr="00C2523C">
              <w:rPr>
                <w:rFonts w:cstheme="minorHAnsi"/>
                <w:sz w:val="24"/>
                <w:szCs w:val="24"/>
              </w:rPr>
              <w:t>Nowe sprawy – z art. 15 projektu ustawy – trafią do SO w Warszawie – SOKiK,</w:t>
            </w:r>
            <w:r w:rsidR="00B80DA6" w:rsidRPr="00C2523C">
              <w:rPr>
                <w:rFonts w:cstheme="minorHAnsi"/>
                <w:sz w:val="24"/>
                <w:szCs w:val="24"/>
              </w:rPr>
              <w:t xml:space="preserve"> </w:t>
            </w:r>
            <w:r w:rsidRPr="00C2523C">
              <w:rPr>
                <w:rFonts w:cstheme="minorHAnsi"/>
                <w:sz w:val="24"/>
                <w:szCs w:val="24"/>
              </w:rPr>
              <w:t>a – z art. 16 projektu ustawy – do sadów rejonowych (pion karny). Zachodzi więc konieczność</w:t>
            </w:r>
            <w:r w:rsidR="00B80DA6" w:rsidRPr="00C2523C">
              <w:rPr>
                <w:rFonts w:cstheme="minorHAnsi"/>
                <w:sz w:val="24"/>
                <w:szCs w:val="24"/>
              </w:rPr>
              <w:t xml:space="preserve"> </w:t>
            </w:r>
            <w:r w:rsidRPr="00C2523C">
              <w:rPr>
                <w:rFonts w:cstheme="minorHAnsi"/>
                <w:sz w:val="24"/>
                <w:szCs w:val="24"/>
              </w:rPr>
              <w:t xml:space="preserve">zapewnienia zwiększenia potencjału kadrowego tych jednostek Znając ograniczenia budżetowe wynikające z sytuacji spowodowanej pandemią COVID-19, Ministerstwo Sprawiedliwości wnosi o przydzielenie nowych etatów do: </w:t>
            </w:r>
            <w:r w:rsidRPr="00C2523C">
              <w:rPr>
                <w:rFonts w:cstheme="minorHAnsi"/>
                <w:b/>
                <w:bCs/>
                <w:sz w:val="24"/>
                <w:szCs w:val="24"/>
              </w:rPr>
              <w:t xml:space="preserve">SOKiK w </w:t>
            </w:r>
            <w:r w:rsidRPr="00C2523C">
              <w:rPr>
                <w:rFonts w:cstheme="minorHAnsi"/>
                <w:b/>
                <w:bCs/>
                <w:sz w:val="24"/>
                <w:szCs w:val="24"/>
              </w:rPr>
              <w:lastRenderedPageBreak/>
              <w:t>liczbie:</w:t>
            </w:r>
            <w:r w:rsidR="00B80DA6" w:rsidRPr="00C2523C">
              <w:rPr>
                <w:rFonts w:cstheme="minorHAnsi"/>
                <w:b/>
                <w:bCs/>
                <w:sz w:val="24"/>
                <w:szCs w:val="24"/>
              </w:rPr>
              <w:t xml:space="preserve"> </w:t>
            </w:r>
            <w:r w:rsidRPr="00C2523C">
              <w:rPr>
                <w:rFonts w:cstheme="minorHAnsi"/>
                <w:b/>
                <w:bCs/>
                <w:sz w:val="24"/>
                <w:szCs w:val="24"/>
              </w:rPr>
              <w:t>1 etat sędziowski, 1 etat asystencki i 2 etaty urzędnicze oraz sądów rejonowych (pion</w:t>
            </w:r>
            <w:r w:rsidR="00B80DA6" w:rsidRPr="00C2523C">
              <w:rPr>
                <w:rFonts w:cstheme="minorHAnsi"/>
                <w:b/>
                <w:bCs/>
                <w:sz w:val="24"/>
                <w:szCs w:val="24"/>
              </w:rPr>
              <w:t xml:space="preserve"> </w:t>
            </w:r>
            <w:r w:rsidRPr="00C2523C">
              <w:rPr>
                <w:rFonts w:cstheme="minorHAnsi"/>
                <w:b/>
                <w:bCs/>
                <w:sz w:val="24"/>
                <w:szCs w:val="24"/>
              </w:rPr>
              <w:t>karny) w liczbie: 5 etatów sędziowskich, 5 etatów asystenckich i 10 etatów urzędniczych.</w:t>
            </w:r>
          </w:p>
          <w:p w14:paraId="492A4001" w14:textId="03164C13" w:rsidR="00FD3498" w:rsidRPr="00C2523C" w:rsidRDefault="00FD3498" w:rsidP="00FD3498">
            <w:pPr>
              <w:autoSpaceDE w:val="0"/>
              <w:autoSpaceDN w:val="0"/>
              <w:adjustRightInd w:val="0"/>
              <w:rPr>
                <w:rFonts w:cstheme="minorHAnsi"/>
                <w:b/>
                <w:bCs/>
                <w:sz w:val="24"/>
                <w:szCs w:val="24"/>
              </w:rPr>
            </w:pPr>
            <w:r w:rsidRPr="00C2523C">
              <w:rPr>
                <w:rFonts w:cstheme="minorHAnsi"/>
                <w:sz w:val="24"/>
                <w:szCs w:val="24"/>
              </w:rPr>
              <w:t xml:space="preserve">Zaznaczenia przy tym wymaga, że nie zgłasza się potrzeb na szczeblu sądów okręgowych,choć oczywistym jest, że trafią tam odwołania od orzeczeń wydanych w I instancji. </w:t>
            </w:r>
            <w:r w:rsidRPr="00C2523C">
              <w:rPr>
                <w:rFonts w:cstheme="minorHAnsi"/>
                <w:b/>
                <w:bCs/>
                <w:sz w:val="24"/>
                <w:szCs w:val="24"/>
              </w:rPr>
              <w:t>Etatypowyższe powinny zostać uruchomione od 1 stycznia 2023 r.</w:t>
            </w:r>
          </w:p>
          <w:p w14:paraId="40B61A7A" w14:textId="77777777" w:rsidR="002E3127" w:rsidRPr="00C2523C" w:rsidRDefault="00FD3498" w:rsidP="00FD3498">
            <w:pPr>
              <w:autoSpaceDE w:val="0"/>
              <w:autoSpaceDN w:val="0"/>
              <w:adjustRightInd w:val="0"/>
              <w:rPr>
                <w:rFonts w:cstheme="minorHAnsi"/>
                <w:sz w:val="24"/>
                <w:szCs w:val="24"/>
              </w:rPr>
            </w:pPr>
            <w:r w:rsidRPr="00C2523C">
              <w:rPr>
                <w:rFonts w:cstheme="minorHAnsi"/>
                <w:sz w:val="24"/>
                <w:szCs w:val="24"/>
              </w:rPr>
              <w:t>Mając na względzie powyższe, modyfikacji wymaga OSR projektu w punkcie 4</w:t>
            </w:r>
            <w:r w:rsidR="002E3127" w:rsidRPr="00C2523C">
              <w:rPr>
                <w:rFonts w:cstheme="minorHAnsi"/>
                <w:sz w:val="24"/>
                <w:szCs w:val="24"/>
              </w:rPr>
              <w:t xml:space="preserve"> </w:t>
            </w:r>
          </w:p>
          <w:p w14:paraId="0668D677" w14:textId="25228ED7" w:rsidR="00FD3498" w:rsidRPr="00C2523C" w:rsidRDefault="00FD3498" w:rsidP="00FD3498">
            <w:pPr>
              <w:autoSpaceDE w:val="0"/>
              <w:autoSpaceDN w:val="0"/>
              <w:adjustRightInd w:val="0"/>
              <w:rPr>
                <w:rFonts w:cstheme="minorHAnsi"/>
                <w:sz w:val="24"/>
                <w:szCs w:val="24"/>
              </w:rPr>
            </w:pPr>
            <w:r w:rsidRPr="00C2523C">
              <w:rPr>
                <w:rFonts w:cstheme="minorHAnsi"/>
                <w:i/>
                <w:iCs/>
                <w:sz w:val="24"/>
                <w:szCs w:val="24"/>
              </w:rPr>
              <w:t xml:space="preserve">Podmioty, na które oddziałuje projekt </w:t>
            </w:r>
            <w:r w:rsidRPr="00C2523C">
              <w:rPr>
                <w:rFonts w:cstheme="minorHAnsi"/>
                <w:sz w:val="24"/>
                <w:szCs w:val="24"/>
              </w:rPr>
              <w:t>przez wskazanie SO w Warszawie jako podmiotu</w:t>
            </w:r>
            <w:r w:rsidR="00B80DA6" w:rsidRPr="00C2523C">
              <w:rPr>
                <w:rFonts w:cstheme="minorHAnsi"/>
                <w:sz w:val="24"/>
                <w:szCs w:val="24"/>
              </w:rPr>
              <w:t xml:space="preserve"> </w:t>
            </w:r>
            <w:r w:rsidRPr="00C2523C">
              <w:rPr>
                <w:rFonts w:cstheme="minorHAnsi"/>
                <w:sz w:val="24"/>
                <w:szCs w:val="24"/>
              </w:rPr>
              <w:t>rozpoznającego odwołania od decyzji Prezesa UKE oraz sądów powszechnych (sądy okręgowe</w:t>
            </w:r>
            <w:r w:rsidR="00B80DA6" w:rsidRPr="00C2523C">
              <w:rPr>
                <w:rFonts w:cstheme="minorHAnsi"/>
                <w:sz w:val="24"/>
                <w:szCs w:val="24"/>
              </w:rPr>
              <w:t xml:space="preserve"> </w:t>
            </w:r>
            <w:r w:rsidRPr="00C2523C">
              <w:rPr>
                <w:rFonts w:cstheme="minorHAnsi"/>
                <w:sz w:val="24"/>
                <w:szCs w:val="24"/>
              </w:rPr>
              <w:t>i sądy rejonowe) jako podmiotów rozpatrujących nowe sprawy karne.</w:t>
            </w:r>
          </w:p>
          <w:p w14:paraId="41DE5955" w14:textId="2331E5B7" w:rsidR="00FD3498" w:rsidRPr="00C2523C" w:rsidRDefault="00FD3498" w:rsidP="002E3127">
            <w:pPr>
              <w:autoSpaceDE w:val="0"/>
              <w:autoSpaceDN w:val="0"/>
              <w:adjustRightInd w:val="0"/>
              <w:rPr>
                <w:rFonts w:cstheme="minorHAnsi"/>
                <w:sz w:val="24"/>
                <w:szCs w:val="24"/>
              </w:rPr>
            </w:pPr>
            <w:r w:rsidRPr="00C2523C">
              <w:rPr>
                <w:rFonts w:cstheme="minorHAnsi"/>
                <w:sz w:val="24"/>
                <w:szCs w:val="24"/>
              </w:rPr>
              <w:t>W obu przypadkach nastąpi wzrost wpływu nowych spraw. Skutkiem powyższego konieczne</w:t>
            </w:r>
            <w:r w:rsidR="00B80DA6" w:rsidRPr="00C2523C">
              <w:rPr>
                <w:rFonts w:cstheme="minorHAnsi"/>
                <w:sz w:val="24"/>
                <w:szCs w:val="24"/>
              </w:rPr>
              <w:t xml:space="preserve"> </w:t>
            </w:r>
            <w:r w:rsidRPr="00C2523C">
              <w:rPr>
                <w:rFonts w:cstheme="minorHAnsi"/>
                <w:sz w:val="24"/>
                <w:szCs w:val="24"/>
              </w:rPr>
              <w:t xml:space="preserve">wydaje się także uzupełnienie OSR w punkcie 6 </w:t>
            </w:r>
            <w:r w:rsidRPr="00C2523C">
              <w:rPr>
                <w:rFonts w:cstheme="minorHAnsi"/>
                <w:i/>
                <w:iCs/>
                <w:sz w:val="24"/>
                <w:szCs w:val="24"/>
              </w:rPr>
              <w:t>Wpływ na sektor finansów publicznych</w:t>
            </w:r>
            <w:r w:rsidR="00B80DA6" w:rsidRPr="00C2523C">
              <w:rPr>
                <w:rFonts w:cstheme="minorHAnsi"/>
                <w:sz w:val="24"/>
                <w:szCs w:val="24"/>
              </w:rPr>
              <w:t xml:space="preserve"> </w:t>
            </w:r>
            <w:r w:rsidRPr="00C2523C">
              <w:rPr>
                <w:rFonts w:cstheme="minorHAnsi"/>
                <w:sz w:val="24"/>
                <w:szCs w:val="24"/>
              </w:rPr>
              <w:t>i wskazanie stosownych wydatków związanych z planowanym wsparciem etatowym.</w:t>
            </w:r>
          </w:p>
        </w:tc>
        <w:tc>
          <w:tcPr>
            <w:tcW w:w="3509" w:type="dxa"/>
          </w:tcPr>
          <w:p w14:paraId="0FC9A656" w14:textId="77777777" w:rsidR="00277339" w:rsidRPr="00C2523C" w:rsidRDefault="009C3F88" w:rsidP="00277373">
            <w:pPr>
              <w:rPr>
                <w:rFonts w:cstheme="minorHAnsi"/>
                <w:b/>
                <w:sz w:val="24"/>
                <w:szCs w:val="24"/>
              </w:rPr>
            </w:pPr>
            <w:r w:rsidRPr="00C2523C">
              <w:rPr>
                <w:rFonts w:cstheme="minorHAnsi"/>
                <w:b/>
                <w:sz w:val="24"/>
                <w:szCs w:val="24"/>
              </w:rPr>
              <w:lastRenderedPageBreak/>
              <w:t>Uwaga nieuwzględniona</w:t>
            </w:r>
          </w:p>
          <w:p w14:paraId="0A15E9EC" w14:textId="3434C8D9" w:rsidR="00FD3498" w:rsidRPr="00C2523C" w:rsidRDefault="00277339" w:rsidP="00277373">
            <w:pPr>
              <w:rPr>
                <w:rFonts w:cstheme="minorHAnsi"/>
                <w:sz w:val="24"/>
                <w:szCs w:val="24"/>
              </w:rPr>
            </w:pPr>
            <w:r w:rsidRPr="00C2523C">
              <w:rPr>
                <w:rFonts w:cstheme="minorHAnsi"/>
                <w:sz w:val="24"/>
                <w:szCs w:val="24"/>
              </w:rPr>
              <w:t xml:space="preserve">Przyjęte rozwiązania nie doprowadzą do istotnego wzrostu liczby spraw sądowych. W związku z tym, że dołączenie do porozumienia i jego realizacja będą wiązały się z domniemaniem wypełniania obowiązków wynikających z niniejszej ustawy najprawdopodobniej nie będzie wielu postępowań karnoadministracyjnych. W związku z tym nie jest konieczne wygospodarowanie nowych wydatków dla SOKIK-u. </w:t>
            </w:r>
          </w:p>
        </w:tc>
      </w:tr>
      <w:tr w:rsidR="00C2523C" w:rsidRPr="00C2523C" w14:paraId="2DCDA6F0" w14:textId="77777777" w:rsidTr="002F0E46">
        <w:tc>
          <w:tcPr>
            <w:tcW w:w="750" w:type="dxa"/>
          </w:tcPr>
          <w:p w14:paraId="13038E6D" w14:textId="208BB5ED" w:rsidR="000804D8" w:rsidRPr="00C2523C" w:rsidRDefault="000804D8" w:rsidP="000804D8">
            <w:pPr>
              <w:pStyle w:val="Akapitzlist"/>
              <w:numPr>
                <w:ilvl w:val="0"/>
                <w:numId w:val="9"/>
              </w:numPr>
              <w:spacing w:line="240" w:lineRule="auto"/>
              <w:ind w:left="567"/>
              <w:rPr>
                <w:sz w:val="24"/>
                <w:szCs w:val="24"/>
              </w:rPr>
            </w:pPr>
          </w:p>
        </w:tc>
        <w:tc>
          <w:tcPr>
            <w:tcW w:w="1178" w:type="dxa"/>
            <w:gridSpan w:val="2"/>
          </w:tcPr>
          <w:p w14:paraId="0A7BB3C2" w14:textId="247AAA35" w:rsidR="000804D8" w:rsidRPr="00C2523C" w:rsidRDefault="000804D8" w:rsidP="000804D8">
            <w:pPr>
              <w:rPr>
                <w:sz w:val="24"/>
                <w:szCs w:val="24"/>
              </w:rPr>
            </w:pPr>
            <w:r w:rsidRPr="00C2523C">
              <w:rPr>
                <w:sz w:val="24"/>
                <w:szCs w:val="24"/>
              </w:rPr>
              <w:t>Koordynator OSR</w:t>
            </w:r>
          </w:p>
        </w:tc>
        <w:tc>
          <w:tcPr>
            <w:tcW w:w="1328" w:type="dxa"/>
          </w:tcPr>
          <w:p w14:paraId="1FDAE32A" w14:textId="6BE07D95" w:rsidR="000804D8" w:rsidRPr="00C2523C" w:rsidRDefault="000804D8" w:rsidP="000804D8">
            <w:pPr>
              <w:rPr>
                <w:sz w:val="24"/>
                <w:szCs w:val="24"/>
              </w:rPr>
            </w:pPr>
            <w:r w:rsidRPr="00C2523C">
              <w:rPr>
                <w:sz w:val="24"/>
                <w:szCs w:val="24"/>
              </w:rPr>
              <w:t>Pkt 5 OSR</w:t>
            </w:r>
          </w:p>
        </w:tc>
        <w:tc>
          <w:tcPr>
            <w:tcW w:w="7229" w:type="dxa"/>
          </w:tcPr>
          <w:p w14:paraId="46ABC9E1" w14:textId="65099180" w:rsidR="000804D8" w:rsidRPr="00C2523C" w:rsidRDefault="000804D8" w:rsidP="000804D8">
            <w:pPr>
              <w:rPr>
                <w:sz w:val="24"/>
                <w:szCs w:val="24"/>
              </w:rPr>
            </w:pPr>
            <w:r w:rsidRPr="00C2523C">
              <w:rPr>
                <w:sz w:val="24"/>
                <w:szCs w:val="24"/>
              </w:rPr>
              <w:t>Ocena skutków regulacji wymaga zaprezentowania w pkt 5 OSR uzasadnienia faktu skrócenia terminu konsultacji publicznych poniżej wymaganego przepisami terminu 21 dni.</w:t>
            </w:r>
          </w:p>
        </w:tc>
        <w:tc>
          <w:tcPr>
            <w:tcW w:w="3509" w:type="dxa"/>
          </w:tcPr>
          <w:p w14:paraId="6DACB209" w14:textId="77777777" w:rsidR="000804D8" w:rsidRPr="00C2523C" w:rsidRDefault="00535745" w:rsidP="000804D8">
            <w:pPr>
              <w:rPr>
                <w:b/>
                <w:sz w:val="24"/>
                <w:szCs w:val="24"/>
              </w:rPr>
            </w:pPr>
            <w:r w:rsidRPr="00C2523C">
              <w:rPr>
                <w:b/>
                <w:sz w:val="24"/>
                <w:szCs w:val="24"/>
              </w:rPr>
              <w:t>Uwaga uwzględniona</w:t>
            </w:r>
          </w:p>
          <w:p w14:paraId="476CA39D" w14:textId="5F7AB485" w:rsidR="009F79B6" w:rsidRPr="00C2523C" w:rsidRDefault="00CA2991" w:rsidP="000804D8">
            <w:pPr>
              <w:rPr>
                <w:sz w:val="24"/>
                <w:szCs w:val="24"/>
                <w:highlight w:val="yellow"/>
              </w:rPr>
            </w:pPr>
            <w:r w:rsidRPr="00C2523C">
              <w:rPr>
                <w:sz w:val="24"/>
                <w:szCs w:val="24"/>
              </w:rPr>
              <w:t>OSR został</w:t>
            </w:r>
            <w:r w:rsidR="009F79B6" w:rsidRPr="00C2523C">
              <w:rPr>
                <w:sz w:val="24"/>
                <w:szCs w:val="24"/>
              </w:rPr>
              <w:t xml:space="preserve"> uzupełniony.</w:t>
            </w:r>
          </w:p>
        </w:tc>
      </w:tr>
      <w:tr w:rsidR="00C2523C" w:rsidRPr="00C2523C" w14:paraId="32C49793" w14:textId="77777777" w:rsidTr="002F0E46">
        <w:tc>
          <w:tcPr>
            <w:tcW w:w="750" w:type="dxa"/>
          </w:tcPr>
          <w:p w14:paraId="458A040D" w14:textId="77777777" w:rsidR="000804D8" w:rsidRPr="00C2523C" w:rsidRDefault="000804D8" w:rsidP="000804D8">
            <w:pPr>
              <w:pStyle w:val="Akapitzlist"/>
              <w:numPr>
                <w:ilvl w:val="0"/>
                <w:numId w:val="9"/>
              </w:numPr>
              <w:spacing w:line="240" w:lineRule="auto"/>
              <w:ind w:left="567"/>
              <w:rPr>
                <w:sz w:val="24"/>
                <w:szCs w:val="24"/>
              </w:rPr>
            </w:pPr>
          </w:p>
        </w:tc>
        <w:tc>
          <w:tcPr>
            <w:tcW w:w="1178" w:type="dxa"/>
            <w:gridSpan w:val="2"/>
          </w:tcPr>
          <w:p w14:paraId="5ACA4FC5" w14:textId="10E24B48" w:rsidR="000804D8" w:rsidRPr="00C2523C" w:rsidRDefault="000804D8" w:rsidP="000804D8">
            <w:pPr>
              <w:rPr>
                <w:sz w:val="24"/>
                <w:szCs w:val="24"/>
              </w:rPr>
            </w:pPr>
            <w:r w:rsidRPr="00C2523C">
              <w:rPr>
                <w:sz w:val="24"/>
                <w:szCs w:val="24"/>
              </w:rPr>
              <w:t>Koordynator OSR</w:t>
            </w:r>
          </w:p>
        </w:tc>
        <w:tc>
          <w:tcPr>
            <w:tcW w:w="1328" w:type="dxa"/>
          </w:tcPr>
          <w:p w14:paraId="411326F9" w14:textId="0474EA42" w:rsidR="000804D8" w:rsidRPr="00C2523C" w:rsidRDefault="000804D8" w:rsidP="000804D8">
            <w:pPr>
              <w:rPr>
                <w:sz w:val="24"/>
                <w:szCs w:val="24"/>
              </w:rPr>
            </w:pPr>
            <w:r w:rsidRPr="00C2523C">
              <w:rPr>
                <w:sz w:val="24"/>
                <w:szCs w:val="24"/>
              </w:rPr>
              <w:t>Pkt 6 OSR</w:t>
            </w:r>
          </w:p>
        </w:tc>
        <w:tc>
          <w:tcPr>
            <w:tcW w:w="7229" w:type="dxa"/>
          </w:tcPr>
          <w:p w14:paraId="3B1FDA34" w14:textId="77777777" w:rsidR="000804D8" w:rsidRPr="00C2523C" w:rsidRDefault="000804D8" w:rsidP="000804D8">
            <w:pPr>
              <w:rPr>
                <w:sz w:val="24"/>
                <w:szCs w:val="24"/>
              </w:rPr>
            </w:pPr>
            <w:r w:rsidRPr="00C2523C">
              <w:rPr>
                <w:sz w:val="24"/>
                <w:szCs w:val="24"/>
              </w:rPr>
              <w:t>Niezbędne jest również uzupełnienie pkt 6 OSR (w tym tabeli) o informacje dotyczące kosztów związanych z dodatkowymi obciążeniami nakładanymi na instytucje publiczne (UKE, NASK). Sekcja „Informacje dodatkowe” w pkt 6 OSR powinna prezentować metodykę szacunków dot. wysokości ww. kosztów, natomiast sekcja „Źródła finansowania” powinna informować</w:t>
            </w:r>
          </w:p>
          <w:p w14:paraId="1E632BBC" w14:textId="5002DCA6" w:rsidR="000804D8" w:rsidRPr="00C2523C" w:rsidRDefault="000804D8" w:rsidP="000804D8">
            <w:pPr>
              <w:rPr>
                <w:sz w:val="24"/>
                <w:szCs w:val="24"/>
              </w:rPr>
            </w:pPr>
            <w:r w:rsidRPr="00C2523C">
              <w:rPr>
                <w:sz w:val="24"/>
                <w:szCs w:val="24"/>
              </w:rPr>
              <w:t>o zakładanym źródle sfinansowania tych kosztów (w tym części budżetowej, z której będą ponoszone dodatkowe wydatki oraz informacji, czy wejście w życie ustawy będzie podstawą do zwiększenia wydatków ponad dotychczasowe limity).</w:t>
            </w:r>
          </w:p>
        </w:tc>
        <w:tc>
          <w:tcPr>
            <w:tcW w:w="3509" w:type="dxa"/>
          </w:tcPr>
          <w:p w14:paraId="2C066756" w14:textId="77777777" w:rsidR="000804D8" w:rsidRPr="00C2523C" w:rsidRDefault="00535745" w:rsidP="000804D8">
            <w:pPr>
              <w:rPr>
                <w:b/>
                <w:sz w:val="24"/>
                <w:szCs w:val="24"/>
              </w:rPr>
            </w:pPr>
            <w:r w:rsidRPr="00C2523C">
              <w:rPr>
                <w:b/>
                <w:sz w:val="24"/>
                <w:szCs w:val="24"/>
              </w:rPr>
              <w:t>Uwaga wyjaśniona</w:t>
            </w:r>
          </w:p>
          <w:p w14:paraId="244B0DF8" w14:textId="77777777" w:rsidR="00E76B86" w:rsidRPr="00C2523C" w:rsidRDefault="009F79B6" w:rsidP="000804D8">
            <w:pPr>
              <w:rPr>
                <w:sz w:val="24"/>
                <w:szCs w:val="24"/>
              </w:rPr>
            </w:pPr>
            <w:r w:rsidRPr="00C2523C">
              <w:rPr>
                <w:sz w:val="24"/>
                <w:szCs w:val="24"/>
              </w:rPr>
              <w:t xml:space="preserve">Koszty CSIRT NASK zmieszczą się w ramach dotychczasowej dotacji </w:t>
            </w:r>
            <w:r w:rsidR="00E76B86" w:rsidRPr="00C2523C">
              <w:rPr>
                <w:sz w:val="24"/>
                <w:szCs w:val="24"/>
              </w:rPr>
              <w:t xml:space="preserve">podmiotowej </w:t>
            </w:r>
            <w:r w:rsidRPr="00C2523C">
              <w:rPr>
                <w:sz w:val="24"/>
                <w:szCs w:val="24"/>
              </w:rPr>
              <w:t>dla CSIRT NASK. Będą również marginalne</w:t>
            </w:r>
            <w:r w:rsidR="00E76B86" w:rsidRPr="00C2523C">
              <w:rPr>
                <w:sz w:val="24"/>
                <w:szCs w:val="24"/>
              </w:rPr>
              <w:t xml:space="preserve">. </w:t>
            </w:r>
          </w:p>
          <w:p w14:paraId="5D9185BD" w14:textId="2C0C8B7C" w:rsidR="009F79B6" w:rsidRPr="00C2523C" w:rsidRDefault="009F79B6" w:rsidP="000804D8">
            <w:pPr>
              <w:rPr>
                <w:sz w:val="24"/>
                <w:szCs w:val="24"/>
                <w:highlight w:val="yellow"/>
              </w:rPr>
            </w:pPr>
          </w:p>
        </w:tc>
      </w:tr>
      <w:tr w:rsidR="00C2523C" w:rsidRPr="00C2523C" w14:paraId="617117F2" w14:textId="77777777" w:rsidTr="002F0E46">
        <w:tc>
          <w:tcPr>
            <w:tcW w:w="750" w:type="dxa"/>
          </w:tcPr>
          <w:p w14:paraId="3AF7BC2B" w14:textId="6E63B37D" w:rsidR="000804D8" w:rsidRPr="00C2523C" w:rsidRDefault="000804D8" w:rsidP="000804D8">
            <w:pPr>
              <w:pStyle w:val="Akapitzlist"/>
              <w:numPr>
                <w:ilvl w:val="0"/>
                <w:numId w:val="9"/>
              </w:numPr>
              <w:spacing w:line="240" w:lineRule="auto"/>
              <w:ind w:left="567"/>
              <w:rPr>
                <w:sz w:val="24"/>
                <w:szCs w:val="24"/>
              </w:rPr>
            </w:pPr>
          </w:p>
        </w:tc>
        <w:tc>
          <w:tcPr>
            <w:tcW w:w="1178" w:type="dxa"/>
            <w:gridSpan w:val="2"/>
          </w:tcPr>
          <w:p w14:paraId="4CFA8853" w14:textId="22CE42EF" w:rsidR="000804D8" w:rsidRPr="00C2523C" w:rsidRDefault="000804D8" w:rsidP="000804D8">
            <w:pPr>
              <w:rPr>
                <w:sz w:val="24"/>
                <w:szCs w:val="24"/>
              </w:rPr>
            </w:pPr>
            <w:r w:rsidRPr="00C2523C">
              <w:rPr>
                <w:sz w:val="24"/>
                <w:szCs w:val="24"/>
              </w:rPr>
              <w:t>Koordynator OSR</w:t>
            </w:r>
          </w:p>
        </w:tc>
        <w:tc>
          <w:tcPr>
            <w:tcW w:w="1328" w:type="dxa"/>
          </w:tcPr>
          <w:p w14:paraId="009F1013" w14:textId="6F51C170" w:rsidR="000804D8" w:rsidRPr="00C2523C" w:rsidRDefault="000804D8" w:rsidP="000804D8">
            <w:pPr>
              <w:rPr>
                <w:sz w:val="24"/>
                <w:szCs w:val="24"/>
              </w:rPr>
            </w:pPr>
            <w:r w:rsidRPr="00C2523C">
              <w:rPr>
                <w:sz w:val="24"/>
                <w:szCs w:val="24"/>
              </w:rPr>
              <w:t>Pkt 7 OSR</w:t>
            </w:r>
          </w:p>
        </w:tc>
        <w:tc>
          <w:tcPr>
            <w:tcW w:w="7229" w:type="dxa"/>
          </w:tcPr>
          <w:p w14:paraId="424CB5AA" w14:textId="784FE0D8" w:rsidR="000804D8" w:rsidRPr="00C2523C" w:rsidRDefault="000804D8">
            <w:pPr>
              <w:rPr>
                <w:sz w:val="24"/>
                <w:szCs w:val="24"/>
              </w:rPr>
            </w:pPr>
            <w:r w:rsidRPr="00C2523C">
              <w:rPr>
                <w:sz w:val="24"/>
                <w:szCs w:val="24"/>
              </w:rPr>
              <w:t xml:space="preserve">Pkt 7 OSR należy uzupełnić o informacje dot. kosztów dostosowawczych dla przedsiębiorców, związanych z podleganiem nowym obowiązkom. W szczególności dotyczy to kosztów wprowadzenia przez przedsiębiorców telekomunikacyjnych rozwiązań technicznych umożliwiających blokowanie/odblokowywanie wiadomości tekstowych zawierających określone treści oraz rozwiązań umożliwiających blokowanie wybranych połączeń głosowych. </w:t>
            </w:r>
          </w:p>
        </w:tc>
        <w:tc>
          <w:tcPr>
            <w:tcW w:w="3509" w:type="dxa"/>
          </w:tcPr>
          <w:p w14:paraId="4F34E825" w14:textId="77777777" w:rsidR="00B80DA6" w:rsidRPr="00C2523C" w:rsidRDefault="00B80DA6" w:rsidP="000804D8">
            <w:pPr>
              <w:rPr>
                <w:b/>
                <w:sz w:val="24"/>
                <w:szCs w:val="24"/>
              </w:rPr>
            </w:pPr>
            <w:r w:rsidRPr="00C2523C">
              <w:rPr>
                <w:b/>
                <w:sz w:val="24"/>
                <w:szCs w:val="24"/>
              </w:rPr>
              <w:t>Uwaga uwzględniona</w:t>
            </w:r>
          </w:p>
          <w:p w14:paraId="3EB1E548" w14:textId="2B71C5A4" w:rsidR="00B80DA6" w:rsidRPr="00C2523C" w:rsidRDefault="00B80DA6" w:rsidP="000804D8">
            <w:pPr>
              <w:rPr>
                <w:sz w:val="24"/>
                <w:szCs w:val="24"/>
              </w:rPr>
            </w:pPr>
            <w:r w:rsidRPr="00C2523C">
              <w:rPr>
                <w:sz w:val="24"/>
                <w:szCs w:val="24"/>
              </w:rPr>
              <w:t>OSR zostanie uzupełniony</w:t>
            </w:r>
            <w:r w:rsidR="009606E6" w:rsidRPr="00C2523C">
              <w:rPr>
                <w:sz w:val="24"/>
                <w:szCs w:val="24"/>
              </w:rPr>
              <w:t xml:space="preserve"> poprzez wskazanie, że oszacowanie</w:t>
            </w:r>
            <w:r w:rsidR="00C01318" w:rsidRPr="00C2523C">
              <w:rPr>
                <w:sz w:val="24"/>
                <w:szCs w:val="24"/>
              </w:rPr>
              <w:t xml:space="preserve"> </w:t>
            </w:r>
            <w:r w:rsidR="009606E6" w:rsidRPr="00C2523C">
              <w:rPr>
                <w:sz w:val="24"/>
                <w:szCs w:val="24"/>
              </w:rPr>
              <w:t>tych kosztów nie jest możliwe ze względu na to, że nie są znane rozwiązania techniczne, którymi już obecnie dysponują przedsiębiorcy telekomunikacyjni.</w:t>
            </w:r>
          </w:p>
          <w:p w14:paraId="13E2089C" w14:textId="49B5CE40" w:rsidR="000804D8" w:rsidRPr="00C2523C" w:rsidRDefault="000804D8" w:rsidP="000804D8">
            <w:pPr>
              <w:rPr>
                <w:sz w:val="24"/>
                <w:szCs w:val="24"/>
              </w:rPr>
            </w:pPr>
          </w:p>
        </w:tc>
      </w:tr>
      <w:tr w:rsidR="00C2523C" w:rsidRPr="00C2523C" w14:paraId="32635F72" w14:textId="77777777" w:rsidTr="002F0E46">
        <w:tc>
          <w:tcPr>
            <w:tcW w:w="750" w:type="dxa"/>
          </w:tcPr>
          <w:p w14:paraId="56F973F5" w14:textId="3BBAA7BC" w:rsidR="000804D8" w:rsidRPr="00C2523C" w:rsidRDefault="000804D8" w:rsidP="000804D8">
            <w:pPr>
              <w:pStyle w:val="Akapitzlist"/>
              <w:numPr>
                <w:ilvl w:val="0"/>
                <w:numId w:val="9"/>
              </w:numPr>
              <w:spacing w:line="240" w:lineRule="auto"/>
              <w:ind w:left="567"/>
              <w:rPr>
                <w:sz w:val="24"/>
                <w:szCs w:val="24"/>
              </w:rPr>
            </w:pPr>
          </w:p>
        </w:tc>
        <w:tc>
          <w:tcPr>
            <w:tcW w:w="1178" w:type="dxa"/>
            <w:gridSpan w:val="2"/>
          </w:tcPr>
          <w:p w14:paraId="3AE26E3F" w14:textId="1B18D5C9" w:rsidR="000804D8" w:rsidRPr="00C2523C" w:rsidRDefault="000804D8" w:rsidP="000804D8">
            <w:pPr>
              <w:rPr>
                <w:sz w:val="24"/>
                <w:szCs w:val="24"/>
              </w:rPr>
            </w:pPr>
            <w:r w:rsidRPr="00C2523C">
              <w:rPr>
                <w:sz w:val="24"/>
                <w:szCs w:val="24"/>
              </w:rPr>
              <w:t>Koordynator OSR</w:t>
            </w:r>
          </w:p>
        </w:tc>
        <w:tc>
          <w:tcPr>
            <w:tcW w:w="1328" w:type="dxa"/>
          </w:tcPr>
          <w:p w14:paraId="19932E8B" w14:textId="25AA9ACE" w:rsidR="000804D8" w:rsidRPr="00C2523C" w:rsidRDefault="000804D8" w:rsidP="000804D8">
            <w:pPr>
              <w:rPr>
                <w:sz w:val="24"/>
                <w:szCs w:val="24"/>
              </w:rPr>
            </w:pPr>
            <w:r w:rsidRPr="00C2523C">
              <w:rPr>
                <w:sz w:val="24"/>
                <w:szCs w:val="24"/>
              </w:rPr>
              <w:t>Pkt 7 OSR</w:t>
            </w:r>
          </w:p>
        </w:tc>
        <w:tc>
          <w:tcPr>
            <w:tcW w:w="7229" w:type="dxa"/>
          </w:tcPr>
          <w:p w14:paraId="1BAC447A" w14:textId="24D6E210" w:rsidR="000804D8" w:rsidRPr="00C2523C" w:rsidRDefault="000804D8" w:rsidP="000804D8">
            <w:pPr>
              <w:rPr>
                <w:sz w:val="24"/>
                <w:szCs w:val="24"/>
              </w:rPr>
            </w:pPr>
            <w:r w:rsidRPr="00C2523C">
              <w:rPr>
                <w:sz w:val="24"/>
                <w:szCs w:val="24"/>
              </w:rPr>
              <w:t>Z kolei w odniesieniu do dostawców poczty elektronicznej, niezbędne jest oszacowanie kosztów wprowadzenia mechanizmów uwierzytelnienia poczty elektronicznej. Konieczne jest również doprecyzowanie, czy wskazane w ustawie i OSR progi (np. 500 tys. użytkowników) odnoszą się do liczby użytkowników poczty w Polsce, czy też na całym świecie.</w:t>
            </w:r>
          </w:p>
        </w:tc>
        <w:tc>
          <w:tcPr>
            <w:tcW w:w="3509" w:type="dxa"/>
          </w:tcPr>
          <w:p w14:paraId="32D3773F" w14:textId="77777777" w:rsidR="00B80DA6" w:rsidRPr="00C2523C" w:rsidRDefault="00B80DA6" w:rsidP="000804D8">
            <w:pPr>
              <w:rPr>
                <w:b/>
                <w:sz w:val="24"/>
                <w:szCs w:val="24"/>
              </w:rPr>
            </w:pPr>
            <w:r w:rsidRPr="00C2523C">
              <w:rPr>
                <w:b/>
                <w:sz w:val="24"/>
                <w:szCs w:val="24"/>
              </w:rPr>
              <w:t>Uwaga uwzględniona</w:t>
            </w:r>
          </w:p>
          <w:p w14:paraId="43F0EC8B" w14:textId="77777777" w:rsidR="00B80DA6" w:rsidRPr="00C2523C" w:rsidRDefault="00B80DA6" w:rsidP="000804D8">
            <w:pPr>
              <w:rPr>
                <w:sz w:val="24"/>
                <w:szCs w:val="24"/>
              </w:rPr>
            </w:pPr>
            <w:r w:rsidRPr="00C2523C">
              <w:rPr>
                <w:sz w:val="24"/>
                <w:szCs w:val="24"/>
              </w:rPr>
              <w:t>OSR zostanie uzupełniony.</w:t>
            </w:r>
          </w:p>
          <w:p w14:paraId="66E4ED45" w14:textId="427F0A71" w:rsidR="000804D8" w:rsidRPr="00C2523C" w:rsidRDefault="00535745">
            <w:pPr>
              <w:rPr>
                <w:i/>
                <w:sz w:val="24"/>
                <w:szCs w:val="24"/>
              </w:rPr>
            </w:pPr>
            <w:r w:rsidRPr="00C2523C">
              <w:rPr>
                <w:i/>
                <w:sz w:val="24"/>
                <w:szCs w:val="24"/>
              </w:rPr>
              <w:t>„</w:t>
            </w:r>
            <w:r w:rsidR="00B80DA6" w:rsidRPr="00C2523C">
              <w:rPr>
                <w:i/>
                <w:sz w:val="24"/>
                <w:szCs w:val="24"/>
              </w:rPr>
              <w:t xml:space="preserve">Wdrożenie mechanizmów SPF, DKIM oraz DMARC </w:t>
            </w:r>
            <w:r w:rsidR="003B3997" w:rsidRPr="00C2523C">
              <w:rPr>
                <w:i/>
                <w:sz w:val="24"/>
                <w:szCs w:val="24"/>
              </w:rPr>
              <w:t>polega na wprowadzeniu odpowiednich rekordów DNS. Dokumentacja dot. tych mechanizmów jest dostępna bezpłatnie</w:t>
            </w:r>
            <w:r w:rsidR="00632EB2" w:rsidRPr="00C2523C">
              <w:rPr>
                <w:rStyle w:val="Odwoanieprzypisudolnego"/>
                <w:i/>
                <w:sz w:val="24"/>
                <w:szCs w:val="24"/>
              </w:rPr>
              <w:footnoteReference w:id="4"/>
            </w:r>
            <w:r w:rsidR="003B3997" w:rsidRPr="00C2523C">
              <w:rPr>
                <w:i/>
                <w:sz w:val="24"/>
                <w:szCs w:val="24"/>
              </w:rPr>
              <w:t>, ponadto istnieje wiele poradników jak poprawnie skonfigurować te mechanizmy</w:t>
            </w:r>
            <w:r w:rsidR="003B3997" w:rsidRPr="00C2523C">
              <w:rPr>
                <w:rStyle w:val="Odwoanieprzypisudolnego"/>
                <w:i/>
                <w:sz w:val="24"/>
                <w:szCs w:val="24"/>
              </w:rPr>
              <w:footnoteReference w:id="5"/>
            </w:r>
            <w:r w:rsidR="003B3997" w:rsidRPr="00C2523C">
              <w:rPr>
                <w:i/>
                <w:sz w:val="24"/>
                <w:szCs w:val="24"/>
              </w:rPr>
              <w:t xml:space="preserve">. Szacuje się, że wdrożenie tych mechanizmów zajmie </w:t>
            </w:r>
            <w:r w:rsidR="001F6A3F" w:rsidRPr="00C2523C">
              <w:rPr>
                <w:i/>
                <w:sz w:val="24"/>
                <w:szCs w:val="24"/>
              </w:rPr>
              <w:t>kilka dni</w:t>
            </w:r>
            <w:r w:rsidR="003B3997" w:rsidRPr="00C2523C">
              <w:rPr>
                <w:i/>
                <w:sz w:val="24"/>
                <w:szCs w:val="24"/>
              </w:rPr>
              <w:t xml:space="preserve"> pracy </w:t>
            </w:r>
            <w:r w:rsidR="00122880" w:rsidRPr="00C2523C">
              <w:rPr>
                <w:i/>
                <w:sz w:val="24"/>
                <w:szCs w:val="24"/>
              </w:rPr>
              <w:t>administratora systemów poczty elektronicznej</w:t>
            </w:r>
            <w:r w:rsidR="003B3997" w:rsidRPr="00C2523C">
              <w:rPr>
                <w:i/>
                <w:sz w:val="24"/>
                <w:szCs w:val="24"/>
              </w:rPr>
              <w:t>.</w:t>
            </w:r>
            <w:r w:rsidRPr="00C2523C">
              <w:rPr>
                <w:i/>
                <w:sz w:val="24"/>
                <w:szCs w:val="24"/>
              </w:rPr>
              <w:t>”</w:t>
            </w:r>
          </w:p>
          <w:p w14:paraId="3ACBAAC7" w14:textId="3CD9C532" w:rsidR="00535745" w:rsidRPr="00C2523C" w:rsidRDefault="00535745">
            <w:pPr>
              <w:rPr>
                <w:sz w:val="24"/>
                <w:szCs w:val="24"/>
              </w:rPr>
            </w:pPr>
            <w:r w:rsidRPr="00C2523C">
              <w:rPr>
                <w:sz w:val="24"/>
                <w:szCs w:val="24"/>
              </w:rPr>
              <w:t>500 tys. użytkowników odnosi się do użytkowników w ogóle</w:t>
            </w:r>
            <w:r w:rsidR="00FB0779" w:rsidRPr="00C2523C">
              <w:rPr>
                <w:sz w:val="24"/>
                <w:szCs w:val="24"/>
              </w:rPr>
              <w:t xml:space="preserve"> (bez zastrzeżenia w Polsce)</w:t>
            </w:r>
            <w:r w:rsidRPr="00C2523C">
              <w:rPr>
                <w:sz w:val="24"/>
                <w:szCs w:val="24"/>
              </w:rPr>
              <w:t>.</w:t>
            </w:r>
          </w:p>
        </w:tc>
      </w:tr>
      <w:tr w:rsidR="00C2523C" w:rsidRPr="00C2523C" w14:paraId="0F54D55F" w14:textId="77777777" w:rsidTr="002F0E46">
        <w:tc>
          <w:tcPr>
            <w:tcW w:w="750" w:type="dxa"/>
          </w:tcPr>
          <w:p w14:paraId="473B024E" w14:textId="0CAF6744" w:rsidR="000804D8" w:rsidRPr="00C2523C" w:rsidRDefault="000804D8" w:rsidP="000804D8">
            <w:pPr>
              <w:pStyle w:val="Akapitzlist"/>
              <w:numPr>
                <w:ilvl w:val="0"/>
                <w:numId w:val="9"/>
              </w:numPr>
              <w:spacing w:line="240" w:lineRule="auto"/>
              <w:ind w:left="567"/>
              <w:rPr>
                <w:sz w:val="24"/>
                <w:szCs w:val="24"/>
              </w:rPr>
            </w:pPr>
          </w:p>
        </w:tc>
        <w:tc>
          <w:tcPr>
            <w:tcW w:w="1178" w:type="dxa"/>
            <w:gridSpan w:val="2"/>
          </w:tcPr>
          <w:p w14:paraId="3DD441ED" w14:textId="3A63A0B3" w:rsidR="000804D8" w:rsidRPr="00C2523C" w:rsidRDefault="000804D8" w:rsidP="000804D8">
            <w:pPr>
              <w:rPr>
                <w:sz w:val="24"/>
                <w:szCs w:val="24"/>
              </w:rPr>
            </w:pPr>
            <w:r w:rsidRPr="00C2523C">
              <w:rPr>
                <w:sz w:val="24"/>
                <w:szCs w:val="24"/>
              </w:rPr>
              <w:t>Koordynator OSR</w:t>
            </w:r>
          </w:p>
        </w:tc>
        <w:tc>
          <w:tcPr>
            <w:tcW w:w="1328" w:type="dxa"/>
          </w:tcPr>
          <w:p w14:paraId="12F207E7" w14:textId="1D01A3EF" w:rsidR="000804D8" w:rsidRPr="00C2523C" w:rsidRDefault="000804D8" w:rsidP="000804D8">
            <w:pPr>
              <w:rPr>
                <w:sz w:val="24"/>
                <w:szCs w:val="24"/>
              </w:rPr>
            </w:pPr>
            <w:r w:rsidRPr="00C2523C">
              <w:rPr>
                <w:sz w:val="24"/>
                <w:szCs w:val="24"/>
              </w:rPr>
              <w:t>Pkt 7 OSR</w:t>
            </w:r>
          </w:p>
        </w:tc>
        <w:tc>
          <w:tcPr>
            <w:tcW w:w="7229" w:type="dxa"/>
          </w:tcPr>
          <w:p w14:paraId="6A25E47C" w14:textId="62AB4545" w:rsidR="000804D8" w:rsidRPr="00C2523C" w:rsidRDefault="000804D8" w:rsidP="000804D8">
            <w:pPr>
              <w:rPr>
                <w:sz w:val="24"/>
                <w:szCs w:val="24"/>
              </w:rPr>
            </w:pPr>
            <w:r w:rsidRPr="00C2523C">
              <w:rPr>
                <w:sz w:val="24"/>
                <w:szCs w:val="24"/>
              </w:rPr>
              <w:t>W odniesieniu do przedsiębiorców, jak i obywateli, wykorzystujących w pracy i życiu społecznym oraz prywatnym komunikaty elektroniczne, należy omówić także ew. zagrożenia płynące z wprowadzenia rozwiązania umożliwiającego przedsiębiorcom telekomunikacyjnym przetwarzanie i wzajemne udostępnianie również treści ww. komunikatów elektronicznych – omówienie takie powinno uwzględniać m.in. kwestie wolności obywatelskich, prawa do zachowania tajemnicy, oraz kwestie ew. naruszenia tajemnicy służbowej/gospodarczej.</w:t>
            </w:r>
          </w:p>
        </w:tc>
        <w:tc>
          <w:tcPr>
            <w:tcW w:w="3509" w:type="dxa"/>
          </w:tcPr>
          <w:p w14:paraId="1C115E69" w14:textId="77777777" w:rsidR="000F24A5" w:rsidRPr="00C2523C" w:rsidRDefault="00FB0779" w:rsidP="000804D8">
            <w:pPr>
              <w:rPr>
                <w:b/>
                <w:sz w:val="24"/>
                <w:szCs w:val="24"/>
              </w:rPr>
            </w:pPr>
            <w:r w:rsidRPr="00C2523C">
              <w:rPr>
                <w:b/>
                <w:sz w:val="24"/>
                <w:szCs w:val="24"/>
              </w:rPr>
              <w:t xml:space="preserve">Uwaga </w:t>
            </w:r>
            <w:r w:rsidR="000F24A5" w:rsidRPr="00C2523C">
              <w:rPr>
                <w:b/>
                <w:sz w:val="24"/>
                <w:szCs w:val="24"/>
              </w:rPr>
              <w:t xml:space="preserve">uwzględniona </w:t>
            </w:r>
          </w:p>
          <w:p w14:paraId="43706B49" w14:textId="46B7F221" w:rsidR="00FB0779" w:rsidRPr="00C2523C" w:rsidRDefault="000F24A5" w:rsidP="000804D8">
            <w:pPr>
              <w:rPr>
                <w:sz w:val="24"/>
                <w:szCs w:val="24"/>
              </w:rPr>
            </w:pPr>
            <w:r w:rsidRPr="00C2523C">
              <w:rPr>
                <w:sz w:val="24"/>
                <w:szCs w:val="24"/>
              </w:rPr>
              <w:t>Do OSR dodano następujący fragment:</w:t>
            </w:r>
          </w:p>
          <w:p w14:paraId="4ABB5265" w14:textId="0DD4DAAE" w:rsidR="000804D8" w:rsidRPr="00C2523C" w:rsidRDefault="00AC395F" w:rsidP="00AC395F">
            <w:pPr>
              <w:rPr>
                <w:sz w:val="24"/>
                <w:szCs w:val="24"/>
              </w:rPr>
            </w:pPr>
            <w:r w:rsidRPr="00C2523C">
              <w:rPr>
                <w:sz w:val="24"/>
                <w:szCs w:val="24"/>
              </w:rPr>
              <w:t xml:space="preserve">W przypadku wszelkich przepisów, które dotykają praw i wolności obywatelskich konieczne jest wyważanie czy proponowana regulacja nie ingeruje nadmiernie w te szczególnie chronione uprawnienia. Celem projektowanej regulacji jest walka z nadużyciami w komunikacji elektronicznej, w szczególności ze smishingiem. Ten rodzaj nadużycia stał się niezwykle popularne i obecnie ich ofiarami stają się tysiące ludzi. Jak zostało wskazane w raporcie CSIRT NASK za 2021 r. cały czas rośnie liczba tego typu ataków . Sam raport opisuje również całą serię różnego rodzaju ataków z wykorzystaniem smsów. Ten trend jest widoczny na całym świecie. Tego typu ataki mają bardzo poważne konsekwencje i często mogą prowadzić do sytuacji w której ludzie tracą dostęp do swoich kont </w:t>
            </w:r>
            <w:r w:rsidRPr="00C2523C">
              <w:rPr>
                <w:sz w:val="24"/>
                <w:szCs w:val="24"/>
              </w:rPr>
              <w:lastRenderedPageBreak/>
              <w:t>bankowych, nierzadko tracąc oszczędności całego życia. W związku z tym, ustawa ta ma zaadresować bardzo poważny problem społeczny i ochronić kluczowe interesy obywateli. Ograniczenie rozmiarów tego zjawiska jest niemożliwe bez przetwarzania komunikatów. Równocześnie należy podkreślić, że projektowana ustawa nie zwalnia z obowiązku chronienia przez przedsiębiorców telekomunikacyjnych tajemnicy telekomunikacyjnej. Z powyższych względów proponowane rozwiązania są proporcjonalne do związanych z nimi ograniczeń.</w:t>
            </w:r>
          </w:p>
        </w:tc>
      </w:tr>
      <w:tr w:rsidR="00C2523C" w:rsidRPr="00C2523C" w14:paraId="2105D50B" w14:textId="77777777" w:rsidTr="002F0E46">
        <w:tc>
          <w:tcPr>
            <w:tcW w:w="750" w:type="dxa"/>
          </w:tcPr>
          <w:p w14:paraId="724C6C20" w14:textId="615F922C" w:rsidR="000804D8" w:rsidRPr="00C2523C" w:rsidRDefault="000804D8" w:rsidP="000804D8">
            <w:pPr>
              <w:pStyle w:val="Akapitzlist"/>
              <w:numPr>
                <w:ilvl w:val="0"/>
                <w:numId w:val="9"/>
              </w:numPr>
              <w:spacing w:line="240" w:lineRule="auto"/>
              <w:ind w:left="567"/>
              <w:rPr>
                <w:sz w:val="24"/>
                <w:szCs w:val="24"/>
              </w:rPr>
            </w:pPr>
          </w:p>
        </w:tc>
        <w:tc>
          <w:tcPr>
            <w:tcW w:w="1178" w:type="dxa"/>
            <w:gridSpan w:val="2"/>
          </w:tcPr>
          <w:p w14:paraId="78DD0294" w14:textId="546ED163" w:rsidR="000804D8" w:rsidRPr="00C2523C" w:rsidRDefault="000804D8" w:rsidP="000804D8">
            <w:pPr>
              <w:rPr>
                <w:sz w:val="24"/>
                <w:szCs w:val="24"/>
              </w:rPr>
            </w:pPr>
            <w:r w:rsidRPr="00C2523C">
              <w:rPr>
                <w:sz w:val="24"/>
                <w:szCs w:val="24"/>
              </w:rPr>
              <w:t>Koordynator OSR</w:t>
            </w:r>
          </w:p>
        </w:tc>
        <w:tc>
          <w:tcPr>
            <w:tcW w:w="1328" w:type="dxa"/>
          </w:tcPr>
          <w:p w14:paraId="51B8EAD1" w14:textId="62FACC28" w:rsidR="000804D8" w:rsidRPr="00C2523C" w:rsidRDefault="000804D8" w:rsidP="000804D8">
            <w:pPr>
              <w:rPr>
                <w:sz w:val="24"/>
                <w:szCs w:val="24"/>
              </w:rPr>
            </w:pPr>
            <w:r w:rsidRPr="00C2523C">
              <w:rPr>
                <w:sz w:val="24"/>
                <w:szCs w:val="24"/>
              </w:rPr>
              <w:t>Pkt 7 OSR</w:t>
            </w:r>
          </w:p>
        </w:tc>
        <w:tc>
          <w:tcPr>
            <w:tcW w:w="7229" w:type="dxa"/>
          </w:tcPr>
          <w:p w14:paraId="3E1521ED" w14:textId="5F8D5084" w:rsidR="000804D8" w:rsidRPr="00C2523C" w:rsidRDefault="000804D8" w:rsidP="000804D8">
            <w:pPr>
              <w:rPr>
                <w:sz w:val="24"/>
                <w:szCs w:val="24"/>
              </w:rPr>
            </w:pPr>
            <w:r w:rsidRPr="00C2523C">
              <w:rPr>
                <w:sz w:val="24"/>
                <w:szCs w:val="24"/>
              </w:rPr>
              <w:t>Wskazane jest również omówienie szczegółów ścieżki odwoławczej, w przypadku gdy przedsiębiorca telekomunikacyjny zdecyduje się, wg własnego uznania, blokować krótkie wiadomości tekstowe (SMS), inne niż zawarte we wzorcu wiadomości dostarczanym przez NASK.</w:t>
            </w:r>
          </w:p>
        </w:tc>
        <w:tc>
          <w:tcPr>
            <w:tcW w:w="3509" w:type="dxa"/>
          </w:tcPr>
          <w:p w14:paraId="7AF6122D" w14:textId="77777777" w:rsidR="00BA54DC" w:rsidRPr="00C2523C" w:rsidRDefault="00BA54DC" w:rsidP="000804D8">
            <w:pPr>
              <w:rPr>
                <w:b/>
                <w:sz w:val="24"/>
                <w:szCs w:val="24"/>
              </w:rPr>
            </w:pPr>
            <w:r w:rsidRPr="00C2523C">
              <w:rPr>
                <w:b/>
                <w:sz w:val="24"/>
                <w:szCs w:val="24"/>
              </w:rPr>
              <w:t>Uwaga uwzględniona</w:t>
            </w:r>
          </w:p>
          <w:p w14:paraId="4BC35E4F" w14:textId="316ABFB8" w:rsidR="000804D8" w:rsidRPr="00C2523C" w:rsidRDefault="00BA54DC">
            <w:pPr>
              <w:rPr>
                <w:sz w:val="24"/>
                <w:szCs w:val="24"/>
              </w:rPr>
            </w:pPr>
            <w:r w:rsidRPr="00C2523C">
              <w:rPr>
                <w:sz w:val="24"/>
                <w:szCs w:val="24"/>
              </w:rPr>
              <w:t xml:space="preserve">Zostanie wskazane w OSR, że w przypadku gdy </w:t>
            </w:r>
            <w:r w:rsidR="00632EB2" w:rsidRPr="00C2523C">
              <w:rPr>
                <w:sz w:val="24"/>
                <w:szCs w:val="24"/>
              </w:rPr>
              <w:t xml:space="preserve">przedsiębiorca telekomunikacyjny będzie blokował SMS zawierające treści wyczerpujące znamiona smishingu, inne niż zawarte we wzorcu wiadomości przekazanym przez NASK-PIB, abonent będzie mógł dochodzić swoich praw </w:t>
            </w:r>
            <w:r w:rsidR="00632EB2" w:rsidRPr="00C2523C">
              <w:rPr>
                <w:sz w:val="24"/>
                <w:szCs w:val="24"/>
              </w:rPr>
              <w:lastRenderedPageBreak/>
              <w:t>poprzez postępowanie reklamacyjne.</w:t>
            </w:r>
          </w:p>
        </w:tc>
      </w:tr>
    </w:tbl>
    <w:p w14:paraId="205655D4" w14:textId="4D244A1F" w:rsidR="001B0E08" w:rsidRPr="00C2523C" w:rsidRDefault="001B0E08" w:rsidP="00D45C28">
      <w:pPr>
        <w:ind w:left="567"/>
        <w:rPr>
          <w:sz w:val="24"/>
          <w:szCs w:val="24"/>
        </w:rPr>
      </w:pPr>
    </w:p>
    <w:sectPr w:rsidR="001B0E08" w:rsidRPr="00C2523C" w:rsidSect="0082107B">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0CFB5" w14:textId="77777777" w:rsidR="00716A9F" w:rsidRDefault="00716A9F" w:rsidP="00C27301">
      <w:pPr>
        <w:spacing w:after="0" w:line="240" w:lineRule="auto"/>
      </w:pPr>
      <w:r>
        <w:separator/>
      </w:r>
    </w:p>
  </w:endnote>
  <w:endnote w:type="continuationSeparator" w:id="0">
    <w:p w14:paraId="12636639" w14:textId="77777777" w:rsidR="00716A9F" w:rsidRDefault="00716A9F" w:rsidP="00C27301">
      <w:pPr>
        <w:spacing w:after="0" w:line="240" w:lineRule="auto"/>
      </w:pPr>
      <w:r>
        <w:continuationSeparator/>
      </w:r>
    </w:p>
  </w:endnote>
  <w:endnote w:type="continuationNotice" w:id="1">
    <w:p w14:paraId="078BDF67" w14:textId="77777777" w:rsidR="00716A9F" w:rsidRDefault="00716A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785791"/>
      <w:docPartObj>
        <w:docPartGallery w:val="Page Numbers (Bottom of Page)"/>
        <w:docPartUnique/>
      </w:docPartObj>
    </w:sdtPr>
    <w:sdtEndPr/>
    <w:sdtContent>
      <w:sdt>
        <w:sdtPr>
          <w:id w:val="1728636285"/>
          <w:docPartObj>
            <w:docPartGallery w:val="Page Numbers (Top of Page)"/>
            <w:docPartUnique/>
          </w:docPartObj>
        </w:sdtPr>
        <w:sdtEndPr/>
        <w:sdtContent>
          <w:p w14:paraId="16A15D04" w14:textId="34CA190D" w:rsidR="006B3814" w:rsidRDefault="006B3814">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0859EE">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859EE">
              <w:rPr>
                <w:b/>
                <w:bCs/>
                <w:noProof/>
              </w:rPr>
              <w:t>56</w:t>
            </w:r>
            <w:r>
              <w:rPr>
                <w:b/>
                <w:bCs/>
                <w:sz w:val="24"/>
                <w:szCs w:val="24"/>
              </w:rPr>
              <w:fldChar w:fldCharType="end"/>
            </w:r>
          </w:p>
        </w:sdtContent>
      </w:sdt>
    </w:sdtContent>
  </w:sdt>
  <w:p w14:paraId="56FF2AEB" w14:textId="77777777" w:rsidR="006B3814" w:rsidRDefault="006B38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418FF" w14:textId="77777777" w:rsidR="00716A9F" w:rsidRDefault="00716A9F" w:rsidP="00C27301">
      <w:pPr>
        <w:spacing w:after="0" w:line="240" w:lineRule="auto"/>
      </w:pPr>
      <w:r>
        <w:separator/>
      </w:r>
    </w:p>
  </w:footnote>
  <w:footnote w:type="continuationSeparator" w:id="0">
    <w:p w14:paraId="19629A83" w14:textId="77777777" w:rsidR="00716A9F" w:rsidRDefault="00716A9F" w:rsidP="00C27301">
      <w:pPr>
        <w:spacing w:after="0" w:line="240" w:lineRule="auto"/>
      </w:pPr>
      <w:r>
        <w:continuationSeparator/>
      </w:r>
    </w:p>
  </w:footnote>
  <w:footnote w:type="continuationNotice" w:id="1">
    <w:p w14:paraId="62248D5F" w14:textId="77777777" w:rsidR="00716A9F" w:rsidRDefault="00716A9F">
      <w:pPr>
        <w:spacing w:after="0" w:line="240" w:lineRule="auto"/>
      </w:pPr>
    </w:p>
  </w:footnote>
  <w:footnote w:id="2">
    <w:p w14:paraId="72FE9E9B" w14:textId="72241455" w:rsidR="006B3814" w:rsidRDefault="006B3814">
      <w:pPr>
        <w:pStyle w:val="Tekstprzypisudolnego"/>
      </w:pPr>
      <w:r>
        <w:rPr>
          <w:rStyle w:val="Odwoanieprzypisudolnego"/>
        </w:rPr>
        <w:footnoteRef/>
      </w:r>
      <w:r>
        <w:t xml:space="preserve"> </w:t>
      </w:r>
      <w:r w:rsidRPr="00AB6C72">
        <w:t>https://www.nask.pl/pl/aktualnosci/4183,Teraz-jeszcze-latwiej-zglosic-incydent-bezpieczenstwa-przez-SMS.html</w:t>
      </w:r>
    </w:p>
  </w:footnote>
  <w:footnote w:id="3">
    <w:p w14:paraId="4707942C" w14:textId="5589FE5C" w:rsidR="006B3814" w:rsidRDefault="006B3814">
      <w:pPr>
        <w:pStyle w:val="Tekstprzypisudolnego"/>
      </w:pPr>
      <w:r>
        <w:rPr>
          <w:rStyle w:val="Odwoanieprzypisudolnego"/>
        </w:rPr>
        <w:footnoteRef/>
      </w:r>
      <w:r>
        <w:t xml:space="preserve"> </w:t>
      </w:r>
      <w:hyperlink r:id="rId1" w:anchor="!/lang=pl,entityType=notObligatedEntity,easyIncidentType=email" w:history="1">
        <w:r w:rsidRPr="00C5330A">
          <w:rPr>
            <w:rStyle w:val="Hipercze"/>
          </w:rPr>
          <w:t>https://incydent.cert.pl/#!/lang=pl,entityType=notObligatedEntity,easyIncidentType=email</w:t>
        </w:r>
      </w:hyperlink>
      <w:r>
        <w:t xml:space="preserve"> </w:t>
      </w:r>
    </w:p>
  </w:footnote>
  <w:footnote w:id="4">
    <w:p w14:paraId="1B4C0441" w14:textId="638B570F" w:rsidR="006B3814" w:rsidRDefault="006B3814" w:rsidP="00632EB2">
      <w:pPr>
        <w:pStyle w:val="Tekstprzypisudolnego"/>
      </w:pPr>
      <w:r>
        <w:rPr>
          <w:rStyle w:val="Odwoanieprzypisudolnego"/>
        </w:rPr>
        <w:footnoteRef/>
      </w:r>
      <w:r>
        <w:t xml:space="preserve"> </w:t>
      </w:r>
      <w:hyperlink r:id="rId2" w:history="1">
        <w:r w:rsidRPr="00C5330A">
          <w:rPr>
            <w:rStyle w:val="Hipercze"/>
          </w:rPr>
          <w:t>https://datatracker.ietf.org/doc/html/rfc7489</w:t>
        </w:r>
      </w:hyperlink>
      <w:r>
        <w:t xml:space="preserve">; </w:t>
      </w:r>
      <w:hyperlink r:id="rId3" w:history="1">
        <w:r w:rsidRPr="00C5330A">
          <w:rPr>
            <w:rStyle w:val="Hipercze"/>
          </w:rPr>
          <w:t>https://datatracker.ietf.org/doc/html/rfc6376</w:t>
        </w:r>
      </w:hyperlink>
      <w:r>
        <w:t xml:space="preserve">; </w:t>
      </w:r>
      <w:hyperlink r:id="rId4" w:history="1">
        <w:r w:rsidRPr="00C5330A">
          <w:rPr>
            <w:rStyle w:val="Hipercze"/>
          </w:rPr>
          <w:t>https://datatracker.ietf.org/doc/html/rfc7208</w:t>
        </w:r>
      </w:hyperlink>
      <w:r>
        <w:t xml:space="preserve"> </w:t>
      </w:r>
    </w:p>
  </w:footnote>
  <w:footnote w:id="5">
    <w:p w14:paraId="56FDC779" w14:textId="6B63FC84" w:rsidR="006B3814" w:rsidRDefault="006B3814">
      <w:pPr>
        <w:pStyle w:val="Tekstprzypisudolnego"/>
      </w:pPr>
      <w:r>
        <w:rPr>
          <w:rStyle w:val="Odwoanieprzypisudolnego"/>
        </w:rPr>
        <w:footnoteRef/>
      </w:r>
      <w:r>
        <w:t xml:space="preserve"> </w:t>
      </w:r>
      <w:hyperlink r:id="rId5" w:history="1">
        <w:r w:rsidRPr="00C5330A">
          <w:rPr>
            <w:rStyle w:val="Hipercze"/>
          </w:rPr>
          <w:t>https://dmarc.org/resources/articles-tutorials-and-videos/</w:t>
        </w:r>
      </w:hyperlink>
      <w:r>
        <w:t xml:space="preserve">; </w:t>
      </w:r>
      <w:hyperlink r:id="rId6" w:history="1">
        <w:r w:rsidRPr="00C5330A">
          <w:rPr>
            <w:rStyle w:val="Hipercze"/>
          </w:rPr>
          <w:t>https://www.ncsc.gov.uk/collection/email-security-and-anti-spoofing/configure-anti-spoofing-controls-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6CD30" w14:textId="731BD6DF" w:rsidR="006B3814" w:rsidRDefault="006B3814" w:rsidP="00277373">
    <w:pPr>
      <w:pStyle w:val="Nagwek"/>
    </w:pPr>
    <w:r>
      <w:t>Tabela uwag zgłoszonych w ramach uzgodnień projektu ustawy o zwalczaniu nadużyć w komunikacji elektronicznej (UD402)</w:t>
    </w:r>
  </w:p>
  <w:p w14:paraId="4F1DD3DB" w14:textId="4E9F4D86" w:rsidR="006B3814" w:rsidRDefault="006B381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C0C0A"/>
    <w:multiLevelType w:val="hybridMultilevel"/>
    <w:tmpl w:val="3E18A6E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nsid w:val="100421AC"/>
    <w:multiLevelType w:val="hybridMultilevel"/>
    <w:tmpl w:val="FDD8F27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nsid w:val="172178D7"/>
    <w:multiLevelType w:val="hybridMultilevel"/>
    <w:tmpl w:val="42E007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nsid w:val="1ADA5C1F"/>
    <w:multiLevelType w:val="hybridMultilevel"/>
    <w:tmpl w:val="08FC1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7FA6A9F"/>
    <w:multiLevelType w:val="hybridMultilevel"/>
    <w:tmpl w:val="6670514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35292F9C"/>
    <w:multiLevelType w:val="hybridMultilevel"/>
    <w:tmpl w:val="D330871E"/>
    <w:lvl w:ilvl="0" w:tplc="2C94887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1E652C1"/>
    <w:multiLevelType w:val="hybridMultilevel"/>
    <w:tmpl w:val="DA520FA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nsid w:val="4AAF7017"/>
    <w:multiLevelType w:val="hybridMultilevel"/>
    <w:tmpl w:val="CA92CBB8"/>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54C55A3E"/>
    <w:multiLevelType w:val="hybridMultilevel"/>
    <w:tmpl w:val="25ACA778"/>
    <w:lvl w:ilvl="0" w:tplc="66EC0A80">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7C72ADE"/>
    <w:multiLevelType w:val="hybridMultilevel"/>
    <w:tmpl w:val="925EA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7DA0831"/>
    <w:multiLevelType w:val="hybridMultilevel"/>
    <w:tmpl w:val="C8A63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8DC6EC1"/>
    <w:multiLevelType w:val="hybridMultilevel"/>
    <w:tmpl w:val="BD0CE8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B4B443C"/>
    <w:multiLevelType w:val="hybridMultilevel"/>
    <w:tmpl w:val="214CEC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9"/>
  </w:num>
  <w:num w:numId="3">
    <w:abstractNumId w:val="10"/>
  </w:num>
  <w:num w:numId="4">
    <w:abstractNumId w:val="8"/>
  </w:num>
  <w:num w:numId="5">
    <w:abstractNumId w:val="7"/>
  </w:num>
  <w:num w:numId="6">
    <w:abstractNumId w:val="0"/>
  </w:num>
  <w:num w:numId="7">
    <w:abstractNumId w:val="4"/>
  </w:num>
  <w:num w:numId="8">
    <w:abstractNumId w:val="1"/>
  </w:num>
  <w:num w:numId="9">
    <w:abstractNumId w:val="6"/>
  </w:num>
  <w:num w:numId="10">
    <w:abstractNumId w:val="12"/>
  </w:num>
  <w:num w:numId="11">
    <w:abstractNumId w:val="3"/>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07B"/>
    <w:rsid w:val="00005E6F"/>
    <w:rsid w:val="000118C9"/>
    <w:rsid w:val="000324E8"/>
    <w:rsid w:val="00037C15"/>
    <w:rsid w:val="00037F0D"/>
    <w:rsid w:val="00044E5E"/>
    <w:rsid w:val="00045D7E"/>
    <w:rsid w:val="00052629"/>
    <w:rsid w:val="000738D4"/>
    <w:rsid w:val="000804D8"/>
    <w:rsid w:val="0008105D"/>
    <w:rsid w:val="00081F73"/>
    <w:rsid w:val="000859EE"/>
    <w:rsid w:val="000870D9"/>
    <w:rsid w:val="000A7CDE"/>
    <w:rsid w:val="000C58E8"/>
    <w:rsid w:val="000C710E"/>
    <w:rsid w:val="000D1253"/>
    <w:rsid w:val="000D6FD2"/>
    <w:rsid w:val="000E2F68"/>
    <w:rsid w:val="000E3009"/>
    <w:rsid w:val="000F12B9"/>
    <w:rsid w:val="000F24A5"/>
    <w:rsid w:val="000F5A44"/>
    <w:rsid w:val="001065A5"/>
    <w:rsid w:val="0011462A"/>
    <w:rsid w:val="00122880"/>
    <w:rsid w:val="0012385F"/>
    <w:rsid w:val="0012541B"/>
    <w:rsid w:val="001320FB"/>
    <w:rsid w:val="00152997"/>
    <w:rsid w:val="00162122"/>
    <w:rsid w:val="00193D20"/>
    <w:rsid w:val="001B0E08"/>
    <w:rsid w:val="001B6A6C"/>
    <w:rsid w:val="001E6847"/>
    <w:rsid w:val="001E760A"/>
    <w:rsid w:val="001F6A3F"/>
    <w:rsid w:val="002256BF"/>
    <w:rsid w:val="00225989"/>
    <w:rsid w:val="0023111C"/>
    <w:rsid w:val="00232069"/>
    <w:rsid w:val="0023384C"/>
    <w:rsid w:val="0025625B"/>
    <w:rsid w:val="002716DD"/>
    <w:rsid w:val="00277339"/>
    <w:rsid w:val="00277373"/>
    <w:rsid w:val="00287CD8"/>
    <w:rsid w:val="00292FC5"/>
    <w:rsid w:val="002C1D9D"/>
    <w:rsid w:val="002C4076"/>
    <w:rsid w:val="002D004A"/>
    <w:rsid w:val="002D0851"/>
    <w:rsid w:val="002E15A0"/>
    <w:rsid w:val="002E3127"/>
    <w:rsid w:val="002E3E01"/>
    <w:rsid w:val="002E51B4"/>
    <w:rsid w:val="002F0E46"/>
    <w:rsid w:val="002F27CD"/>
    <w:rsid w:val="0031593D"/>
    <w:rsid w:val="0034025C"/>
    <w:rsid w:val="00367A3E"/>
    <w:rsid w:val="00367F1B"/>
    <w:rsid w:val="00367F22"/>
    <w:rsid w:val="00371A56"/>
    <w:rsid w:val="00372A52"/>
    <w:rsid w:val="0038393A"/>
    <w:rsid w:val="00384BB8"/>
    <w:rsid w:val="00397D97"/>
    <w:rsid w:val="003A08E8"/>
    <w:rsid w:val="003B0DB2"/>
    <w:rsid w:val="003B3997"/>
    <w:rsid w:val="003B712B"/>
    <w:rsid w:val="003E39B7"/>
    <w:rsid w:val="003E4E3B"/>
    <w:rsid w:val="003F1900"/>
    <w:rsid w:val="003F4DC3"/>
    <w:rsid w:val="00403153"/>
    <w:rsid w:val="00407F6E"/>
    <w:rsid w:val="0041244E"/>
    <w:rsid w:val="0041274D"/>
    <w:rsid w:val="00414D1B"/>
    <w:rsid w:val="00432C25"/>
    <w:rsid w:val="00441AD4"/>
    <w:rsid w:val="00450D00"/>
    <w:rsid w:val="004676DD"/>
    <w:rsid w:val="00477495"/>
    <w:rsid w:val="0048678E"/>
    <w:rsid w:val="00496845"/>
    <w:rsid w:val="004B4668"/>
    <w:rsid w:val="004B5968"/>
    <w:rsid w:val="004C0C19"/>
    <w:rsid w:val="004D105D"/>
    <w:rsid w:val="004D5E3E"/>
    <w:rsid w:val="004F509D"/>
    <w:rsid w:val="0050461D"/>
    <w:rsid w:val="00515523"/>
    <w:rsid w:val="00535745"/>
    <w:rsid w:val="005436B0"/>
    <w:rsid w:val="00566AE2"/>
    <w:rsid w:val="005728B4"/>
    <w:rsid w:val="00576EAA"/>
    <w:rsid w:val="005A3211"/>
    <w:rsid w:val="005B5A49"/>
    <w:rsid w:val="005C059A"/>
    <w:rsid w:val="005C323B"/>
    <w:rsid w:val="005D5C8F"/>
    <w:rsid w:val="005F0650"/>
    <w:rsid w:val="00601913"/>
    <w:rsid w:val="00604E53"/>
    <w:rsid w:val="00612A7A"/>
    <w:rsid w:val="006265DF"/>
    <w:rsid w:val="00627393"/>
    <w:rsid w:val="00632EB2"/>
    <w:rsid w:val="0063689A"/>
    <w:rsid w:val="006433AE"/>
    <w:rsid w:val="0065391B"/>
    <w:rsid w:val="006731AF"/>
    <w:rsid w:val="006A3FA5"/>
    <w:rsid w:val="006A6042"/>
    <w:rsid w:val="006B03CD"/>
    <w:rsid w:val="006B3814"/>
    <w:rsid w:val="006F35E3"/>
    <w:rsid w:val="006F63EB"/>
    <w:rsid w:val="006F773B"/>
    <w:rsid w:val="00716A9F"/>
    <w:rsid w:val="007347AD"/>
    <w:rsid w:val="00734B41"/>
    <w:rsid w:val="007662D6"/>
    <w:rsid w:val="007749C3"/>
    <w:rsid w:val="00775DEB"/>
    <w:rsid w:val="007831B6"/>
    <w:rsid w:val="00793716"/>
    <w:rsid w:val="007C7F76"/>
    <w:rsid w:val="007E0DF4"/>
    <w:rsid w:val="007E424E"/>
    <w:rsid w:val="00816A89"/>
    <w:rsid w:val="0082107B"/>
    <w:rsid w:val="00847111"/>
    <w:rsid w:val="008650B8"/>
    <w:rsid w:val="00873389"/>
    <w:rsid w:val="008A4897"/>
    <w:rsid w:val="008B14A0"/>
    <w:rsid w:val="008B3015"/>
    <w:rsid w:val="008B7D55"/>
    <w:rsid w:val="008D152C"/>
    <w:rsid w:val="008E5E8F"/>
    <w:rsid w:val="008F2809"/>
    <w:rsid w:val="008F633A"/>
    <w:rsid w:val="008F7238"/>
    <w:rsid w:val="0092449D"/>
    <w:rsid w:val="00934144"/>
    <w:rsid w:val="009369C5"/>
    <w:rsid w:val="00937913"/>
    <w:rsid w:val="00941CFE"/>
    <w:rsid w:val="009423D4"/>
    <w:rsid w:val="009606E6"/>
    <w:rsid w:val="00962B9B"/>
    <w:rsid w:val="0097514C"/>
    <w:rsid w:val="00975CCE"/>
    <w:rsid w:val="0098136B"/>
    <w:rsid w:val="00982491"/>
    <w:rsid w:val="009951F0"/>
    <w:rsid w:val="009961FC"/>
    <w:rsid w:val="009A1A9A"/>
    <w:rsid w:val="009A4D89"/>
    <w:rsid w:val="009B3293"/>
    <w:rsid w:val="009B5E41"/>
    <w:rsid w:val="009C3F88"/>
    <w:rsid w:val="009F79B6"/>
    <w:rsid w:val="00A1331D"/>
    <w:rsid w:val="00A21849"/>
    <w:rsid w:val="00A254F0"/>
    <w:rsid w:val="00A369F9"/>
    <w:rsid w:val="00A77E68"/>
    <w:rsid w:val="00A830EC"/>
    <w:rsid w:val="00A94D70"/>
    <w:rsid w:val="00A978D6"/>
    <w:rsid w:val="00AB0F68"/>
    <w:rsid w:val="00AB6C72"/>
    <w:rsid w:val="00AC33F8"/>
    <w:rsid w:val="00AC395F"/>
    <w:rsid w:val="00AD2F7E"/>
    <w:rsid w:val="00AD3508"/>
    <w:rsid w:val="00AD358C"/>
    <w:rsid w:val="00AE3323"/>
    <w:rsid w:val="00AF5537"/>
    <w:rsid w:val="00B01A5C"/>
    <w:rsid w:val="00B16724"/>
    <w:rsid w:val="00B21CB5"/>
    <w:rsid w:val="00B23E2D"/>
    <w:rsid w:val="00B32934"/>
    <w:rsid w:val="00B33734"/>
    <w:rsid w:val="00B41EC6"/>
    <w:rsid w:val="00B51DF9"/>
    <w:rsid w:val="00B55C47"/>
    <w:rsid w:val="00B80DA6"/>
    <w:rsid w:val="00B83344"/>
    <w:rsid w:val="00BA54DC"/>
    <w:rsid w:val="00BA5B05"/>
    <w:rsid w:val="00BB1B35"/>
    <w:rsid w:val="00BB350E"/>
    <w:rsid w:val="00BC09FF"/>
    <w:rsid w:val="00BD3E38"/>
    <w:rsid w:val="00BD6F16"/>
    <w:rsid w:val="00BE3D26"/>
    <w:rsid w:val="00BF24F1"/>
    <w:rsid w:val="00BF6664"/>
    <w:rsid w:val="00BF72A3"/>
    <w:rsid w:val="00BF7688"/>
    <w:rsid w:val="00C01318"/>
    <w:rsid w:val="00C1366D"/>
    <w:rsid w:val="00C2040B"/>
    <w:rsid w:val="00C2523C"/>
    <w:rsid w:val="00C27301"/>
    <w:rsid w:val="00C37DCA"/>
    <w:rsid w:val="00C404F1"/>
    <w:rsid w:val="00C52567"/>
    <w:rsid w:val="00C62D8F"/>
    <w:rsid w:val="00C66D66"/>
    <w:rsid w:val="00C715F5"/>
    <w:rsid w:val="00C760ED"/>
    <w:rsid w:val="00C82EF6"/>
    <w:rsid w:val="00CA2991"/>
    <w:rsid w:val="00CB7A00"/>
    <w:rsid w:val="00D31719"/>
    <w:rsid w:val="00D45C28"/>
    <w:rsid w:val="00D50203"/>
    <w:rsid w:val="00D50AB9"/>
    <w:rsid w:val="00D51B7C"/>
    <w:rsid w:val="00D65D15"/>
    <w:rsid w:val="00D81955"/>
    <w:rsid w:val="00D94209"/>
    <w:rsid w:val="00DB0CA0"/>
    <w:rsid w:val="00DC3FD6"/>
    <w:rsid w:val="00DC70D7"/>
    <w:rsid w:val="00DD23E0"/>
    <w:rsid w:val="00DD5823"/>
    <w:rsid w:val="00DD7BBF"/>
    <w:rsid w:val="00DE5070"/>
    <w:rsid w:val="00DE552E"/>
    <w:rsid w:val="00DF7442"/>
    <w:rsid w:val="00E05107"/>
    <w:rsid w:val="00E43CE8"/>
    <w:rsid w:val="00E546F1"/>
    <w:rsid w:val="00E55299"/>
    <w:rsid w:val="00E709E0"/>
    <w:rsid w:val="00E76B86"/>
    <w:rsid w:val="00E804DD"/>
    <w:rsid w:val="00E8209D"/>
    <w:rsid w:val="00E834F2"/>
    <w:rsid w:val="00EA0922"/>
    <w:rsid w:val="00EB22BE"/>
    <w:rsid w:val="00EB49C9"/>
    <w:rsid w:val="00EF167D"/>
    <w:rsid w:val="00EF2837"/>
    <w:rsid w:val="00EF641D"/>
    <w:rsid w:val="00EF7DB3"/>
    <w:rsid w:val="00F23C3F"/>
    <w:rsid w:val="00F30E67"/>
    <w:rsid w:val="00F36BB1"/>
    <w:rsid w:val="00F46B3A"/>
    <w:rsid w:val="00F70F25"/>
    <w:rsid w:val="00F72240"/>
    <w:rsid w:val="00F81138"/>
    <w:rsid w:val="00F85D88"/>
    <w:rsid w:val="00F86531"/>
    <w:rsid w:val="00F9657A"/>
    <w:rsid w:val="00FA349D"/>
    <w:rsid w:val="00FB0779"/>
    <w:rsid w:val="00FB3B85"/>
    <w:rsid w:val="00FB6A70"/>
    <w:rsid w:val="00FC074A"/>
    <w:rsid w:val="00FC3DB7"/>
    <w:rsid w:val="00FD071B"/>
    <w:rsid w:val="00FD3498"/>
    <w:rsid w:val="00FD7DAE"/>
    <w:rsid w:val="00FF306D"/>
    <w:rsid w:val="00FF700D"/>
    <w:rsid w:val="00FF75C7"/>
    <w:rsid w:val="032CF98C"/>
    <w:rsid w:val="161DC1A8"/>
    <w:rsid w:val="1CB1032B"/>
    <w:rsid w:val="1FECE98F"/>
    <w:rsid w:val="31655D42"/>
    <w:rsid w:val="3E504C65"/>
    <w:rsid w:val="40D3739E"/>
    <w:rsid w:val="413793B8"/>
    <w:rsid w:val="481C49FC"/>
    <w:rsid w:val="5B6B1444"/>
    <w:rsid w:val="65C1F17E"/>
    <w:rsid w:val="6EC23498"/>
    <w:rsid w:val="748EAEA8"/>
    <w:rsid w:val="75CB5906"/>
    <w:rsid w:val="7E31C6CE"/>
    <w:rsid w:val="7F591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FAB77"/>
  <w15:chartTrackingRefBased/>
  <w15:docId w15:val="{F269B41E-6454-46B3-A331-2E0976F6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09FF"/>
  </w:style>
  <w:style w:type="paragraph" w:styleId="Nagwek1">
    <w:name w:val="heading 1"/>
    <w:basedOn w:val="Normalny"/>
    <w:next w:val="Normalny"/>
    <w:link w:val="Nagwek1Znak"/>
    <w:qFormat/>
    <w:rsid w:val="005C323B"/>
    <w:pPr>
      <w:keepNext/>
      <w:spacing w:after="0" w:line="240" w:lineRule="auto"/>
      <w:jc w:val="both"/>
      <w:outlineLvl w:val="0"/>
    </w:pPr>
    <w:rPr>
      <w:rFonts w:eastAsia="Times New Roman" w:cs="Times New Roman"/>
      <w:sz w:val="24"/>
      <w:szCs w:val="20"/>
      <w:lang w:eastAsia="pl-PL"/>
    </w:rPr>
  </w:style>
  <w:style w:type="paragraph" w:styleId="Nagwek2">
    <w:name w:val="heading 2"/>
    <w:basedOn w:val="Normalny"/>
    <w:next w:val="Normalny"/>
    <w:link w:val="Nagwek2Znak"/>
    <w:autoRedefine/>
    <w:qFormat/>
    <w:rsid w:val="001E6847"/>
    <w:pPr>
      <w:keepNext/>
      <w:spacing w:after="0" w:line="240" w:lineRule="auto"/>
      <w:jc w:val="center"/>
      <w:outlineLvl w:val="1"/>
    </w:pPr>
    <w:rPr>
      <w:rFonts w:eastAsia="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323B"/>
    <w:rPr>
      <w:rFonts w:eastAsia="Times New Roman" w:cs="Times New Roman"/>
      <w:sz w:val="24"/>
      <w:szCs w:val="20"/>
      <w:lang w:eastAsia="pl-PL"/>
    </w:rPr>
  </w:style>
  <w:style w:type="character" w:customStyle="1" w:styleId="Nagwek2Znak">
    <w:name w:val="Nagłówek 2 Znak"/>
    <w:basedOn w:val="Domylnaczcionkaakapitu"/>
    <w:link w:val="Nagwek2"/>
    <w:rsid w:val="001E6847"/>
    <w:rPr>
      <w:rFonts w:eastAsia="Times New Roman" w:cs="Times New Roman"/>
      <w:b/>
      <w:sz w:val="28"/>
      <w:szCs w:val="20"/>
      <w:lang w:eastAsia="pl-PL"/>
    </w:rPr>
  </w:style>
  <w:style w:type="table" w:styleId="Tabela-Siatka">
    <w:name w:val="Table Grid"/>
    <w:basedOn w:val="Standardowy"/>
    <w:uiPriority w:val="39"/>
    <w:rsid w:val="008210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82107B"/>
    <w:pPr>
      <w:spacing w:line="252" w:lineRule="auto"/>
      <w:ind w:left="720"/>
      <w:contextualSpacing/>
    </w:pPr>
    <w:rPr>
      <w:rFonts w:ascii="Calibri" w:hAnsi="Calibri" w:cs="Calibri"/>
    </w:rPr>
  </w:style>
  <w:style w:type="paragraph" w:customStyle="1" w:styleId="ZROZDZODDZOZNzmoznrozdzoddzartykuempunktem">
    <w:name w:val="Z/ROZDZ(ODDZ)_OZN – zm. ozn. rozdz. (oddz.) artykułem (punktem)"/>
    <w:next w:val="Normalny"/>
    <w:uiPriority w:val="29"/>
    <w:qFormat/>
    <w:rsid w:val="0082107B"/>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PKTzmpktartykuempunktem">
    <w:name w:val="Z/PKT – zm. pkt artykułem (punktem)"/>
    <w:basedOn w:val="Normalny"/>
    <w:uiPriority w:val="31"/>
    <w:qFormat/>
    <w:rsid w:val="0082107B"/>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82107B"/>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USTzmustartykuempunktem">
    <w:name w:val="Z/UST(§) – zm. ust. (§) artykułem (punktem)"/>
    <w:basedOn w:val="ZARTzmartartykuempunktem"/>
    <w:uiPriority w:val="30"/>
    <w:qFormat/>
    <w:rsid w:val="0082107B"/>
  </w:style>
  <w:style w:type="paragraph" w:customStyle="1" w:styleId="ZLITzmlitartykuempunktem">
    <w:name w:val="Z/LIT – zm. lit. artykułem (punktem)"/>
    <w:basedOn w:val="Normalny"/>
    <w:uiPriority w:val="32"/>
    <w:qFormat/>
    <w:rsid w:val="0082107B"/>
    <w:pPr>
      <w:spacing w:after="0" w:line="360" w:lineRule="auto"/>
      <w:ind w:left="986" w:hanging="476"/>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9423D4"/>
    <w:rPr>
      <w:b w:val="0"/>
      <w:i w:val="0"/>
      <w:vanish w:val="0"/>
      <w:spacing w:val="0"/>
      <w:vertAlign w:val="superscript"/>
    </w:rPr>
  </w:style>
  <w:style w:type="character" w:styleId="Odwoaniedokomentarza">
    <w:name w:val="annotation reference"/>
    <w:basedOn w:val="Domylnaczcionkaakapitu"/>
    <w:uiPriority w:val="99"/>
    <w:unhideWhenUsed/>
    <w:rsid w:val="00367F22"/>
    <w:rPr>
      <w:sz w:val="16"/>
      <w:szCs w:val="16"/>
    </w:rPr>
  </w:style>
  <w:style w:type="paragraph" w:styleId="Tekstkomentarza">
    <w:name w:val="annotation text"/>
    <w:basedOn w:val="Normalny"/>
    <w:link w:val="TekstkomentarzaZnak"/>
    <w:uiPriority w:val="99"/>
    <w:unhideWhenUsed/>
    <w:qFormat/>
    <w:rsid w:val="00367F2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367F22"/>
    <w:rPr>
      <w:sz w:val="20"/>
      <w:szCs w:val="20"/>
    </w:rPr>
  </w:style>
  <w:style w:type="paragraph" w:styleId="Tematkomentarza">
    <w:name w:val="annotation subject"/>
    <w:basedOn w:val="Tekstkomentarza"/>
    <w:next w:val="Tekstkomentarza"/>
    <w:link w:val="TematkomentarzaZnak"/>
    <w:uiPriority w:val="99"/>
    <w:semiHidden/>
    <w:unhideWhenUsed/>
    <w:rsid w:val="00367F22"/>
    <w:rPr>
      <w:b/>
      <w:bCs/>
    </w:rPr>
  </w:style>
  <w:style w:type="character" w:customStyle="1" w:styleId="TematkomentarzaZnak">
    <w:name w:val="Temat komentarza Znak"/>
    <w:basedOn w:val="TekstkomentarzaZnak"/>
    <w:link w:val="Tematkomentarza"/>
    <w:uiPriority w:val="99"/>
    <w:semiHidden/>
    <w:rsid w:val="00367F22"/>
    <w:rPr>
      <w:b/>
      <w:bCs/>
      <w:sz w:val="20"/>
      <w:szCs w:val="20"/>
    </w:rPr>
  </w:style>
  <w:style w:type="paragraph" w:styleId="Tekstdymka">
    <w:name w:val="Balloon Text"/>
    <w:basedOn w:val="Normalny"/>
    <w:link w:val="TekstdymkaZnak"/>
    <w:uiPriority w:val="99"/>
    <w:semiHidden/>
    <w:unhideWhenUsed/>
    <w:rsid w:val="00367F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F22"/>
    <w:rPr>
      <w:rFonts w:ascii="Segoe UI" w:hAnsi="Segoe UI" w:cs="Segoe UI"/>
      <w:sz w:val="18"/>
      <w:szCs w:val="18"/>
    </w:rPr>
  </w:style>
  <w:style w:type="paragraph" w:styleId="Nagwek">
    <w:name w:val="header"/>
    <w:basedOn w:val="Normalny"/>
    <w:link w:val="NagwekZnak"/>
    <w:uiPriority w:val="99"/>
    <w:unhideWhenUsed/>
    <w:rsid w:val="00C273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7301"/>
  </w:style>
  <w:style w:type="paragraph" w:styleId="Stopka">
    <w:name w:val="footer"/>
    <w:basedOn w:val="Normalny"/>
    <w:link w:val="StopkaZnak"/>
    <w:uiPriority w:val="99"/>
    <w:unhideWhenUsed/>
    <w:rsid w:val="00C273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7301"/>
  </w:style>
  <w:style w:type="paragraph" w:styleId="Tekstprzypisukocowego">
    <w:name w:val="endnote text"/>
    <w:basedOn w:val="Normalny"/>
    <w:link w:val="TekstprzypisukocowegoZnak"/>
    <w:uiPriority w:val="99"/>
    <w:semiHidden/>
    <w:unhideWhenUsed/>
    <w:rsid w:val="0012541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2541B"/>
    <w:rPr>
      <w:sz w:val="20"/>
      <w:szCs w:val="20"/>
    </w:rPr>
  </w:style>
  <w:style w:type="character" w:styleId="Odwoanieprzypisukocowego">
    <w:name w:val="endnote reference"/>
    <w:basedOn w:val="Domylnaczcionkaakapitu"/>
    <w:uiPriority w:val="99"/>
    <w:semiHidden/>
    <w:unhideWhenUsed/>
    <w:rsid w:val="0012541B"/>
    <w:rPr>
      <w:vertAlign w:val="superscript"/>
    </w:rPr>
  </w:style>
  <w:style w:type="paragraph" w:styleId="NormalnyWeb">
    <w:name w:val="Normal (Web)"/>
    <w:basedOn w:val="Normalny"/>
    <w:uiPriority w:val="99"/>
    <w:semiHidden/>
    <w:unhideWhenUsed/>
    <w:rsid w:val="0079371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B6C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B6C72"/>
    <w:rPr>
      <w:sz w:val="20"/>
      <w:szCs w:val="20"/>
    </w:rPr>
  </w:style>
  <w:style w:type="character" w:styleId="Odwoanieprzypisudolnego">
    <w:name w:val="footnote reference"/>
    <w:basedOn w:val="Domylnaczcionkaakapitu"/>
    <w:uiPriority w:val="99"/>
    <w:semiHidden/>
    <w:unhideWhenUsed/>
    <w:rsid w:val="00AB6C72"/>
    <w:rPr>
      <w:vertAlign w:val="superscript"/>
    </w:rPr>
  </w:style>
  <w:style w:type="character" w:styleId="Hipercze">
    <w:name w:val="Hyperlink"/>
    <w:basedOn w:val="Domylnaczcionkaakapitu"/>
    <w:uiPriority w:val="99"/>
    <w:unhideWhenUsed/>
    <w:rsid w:val="00AB6C72"/>
    <w:rPr>
      <w:color w:val="0563C1" w:themeColor="hyperlink"/>
      <w:u w:val="single"/>
    </w:rPr>
  </w:style>
  <w:style w:type="paragraph" w:styleId="Poprawka">
    <w:name w:val="Revision"/>
    <w:hidden/>
    <w:uiPriority w:val="99"/>
    <w:semiHidden/>
    <w:rsid w:val="00477495"/>
    <w:pPr>
      <w:spacing w:after="0" w:line="240" w:lineRule="auto"/>
    </w:pPr>
  </w:style>
  <w:style w:type="character" w:customStyle="1" w:styleId="Teksttreci">
    <w:name w:val="Tekst treści_"/>
    <w:basedOn w:val="Domylnaczcionkaakapitu"/>
    <w:link w:val="Teksttreci0"/>
    <w:locked/>
    <w:rsid w:val="00DD23E0"/>
    <w:rPr>
      <w:shd w:val="clear" w:color="auto" w:fill="FFFFFF"/>
    </w:rPr>
  </w:style>
  <w:style w:type="paragraph" w:customStyle="1" w:styleId="Teksttreci0">
    <w:name w:val="Tekst treści"/>
    <w:basedOn w:val="Normalny"/>
    <w:link w:val="Teksttreci"/>
    <w:rsid w:val="00DD23E0"/>
    <w:pPr>
      <w:widowControl w:val="0"/>
      <w:shd w:val="clear" w:color="auto" w:fill="FFFFFF"/>
      <w:spacing w:after="0" w:line="300" w:lineRule="auto"/>
      <w:ind w:firstLine="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187497">
      <w:bodyDiv w:val="1"/>
      <w:marLeft w:val="0"/>
      <w:marRight w:val="0"/>
      <w:marTop w:val="0"/>
      <w:marBottom w:val="0"/>
      <w:divBdr>
        <w:top w:val="none" w:sz="0" w:space="0" w:color="auto"/>
        <w:left w:val="none" w:sz="0" w:space="0" w:color="auto"/>
        <w:bottom w:val="none" w:sz="0" w:space="0" w:color="auto"/>
        <w:right w:val="none" w:sz="0" w:space="0" w:color="auto"/>
      </w:divBdr>
    </w:div>
    <w:div w:id="1002053744">
      <w:bodyDiv w:val="1"/>
      <w:marLeft w:val="0"/>
      <w:marRight w:val="0"/>
      <w:marTop w:val="0"/>
      <w:marBottom w:val="0"/>
      <w:divBdr>
        <w:top w:val="none" w:sz="0" w:space="0" w:color="auto"/>
        <w:left w:val="none" w:sz="0" w:space="0" w:color="auto"/>
        <w:bottom w:val="none" w:sz="0" w:space="0" w:color="auto"/>
        <w:right w:val="none" w:sz="0" w:space="0" w:color="auto"/>
      </w:divBdr>
      <w:divsChild>
        <w:div w:id="2001036857">
          <w:marLeft w:val="0"/>
          <w:marRight w:val="0"/>
          <w:marTop w:val="0"/>
          <w:marBottom w:val="0"/>
          <w:divBdr>
            <w:top w:val="none" w:sz="0" w:space="0" w:color="auto"/>
            <w:left w:val="none" w:sz="0" w:space="0" w:color="auto"/>
            <w:bottom w:val="none" w:sz="0" w:space="0" w:color="auto"/>
            <w:right w:val="none" w:sz="0" w:space="0" w:color="auto"/>
          </w:divBdr>
        </w:div>
      </w:divsChild>
    </w:div>
    <w:div w:id="1146819127">
      <w:bodyDiv w:val="1"/>
      <w:marLeft w:val="0"/>
      <w:marRight w:val="0"/>
      <w:marTop w:val="0"/>
      <w:marBottom w:val="0"/>
      <w:divBdr>
        <w:top w:val="none" w:sz="0" w:space="0" w:color="auto"/>
        <w:left w:val="none" w:sz="0" w:space="0" w:color="auto"/>
        <w:bottom w:val="none" w:sz="0" w:space="0" w:color="auto"/>
        <w:right w:val="none" w:sz="0" w:space="0" w:color="auto"/>
      </w:divBdr>
    </w:div>
    <w:div w:id="1210149597">
      <w:bodyDiv w:val="1"/>
      <w:marLeft w:val="0"/>
      <w:marRight w:val="0"/>
      <w:marTop w:val="0"/>
      <w:marBottom w:val="0"/>
      <w:divBdr>
        <w:top w:val="none" w:sz="0" w:space="0" w:color="auto"/>
        <w:left w:val="none" w:sz="0" w:space="0" w:color="auto"/>
        <w:bottom w:val="none" w:sz="0" w:space="0" w:color="auto"/>
        <w:right w:val="none" w:sz="0" w:space="0" w:color="auto"/>
      </w:divBdr>
    </w:div>
    <w:div w:id="1283462724">
      <w:bodyDiv w:val="1"/>
      <w:marLeft w:val="0"/>
      <w:marRight w:val="0"/>
      <w:marTop w:val="0"/>
      <w:marBottom w:val="0"/>
      <w:divBdr>
        <w:top w:val="none" w:sz="0" w:space="0" w:color="auto"/>
        <w:left w:val="none" w:sz="0" w:space="0" w:color="auto"/>
        <w:bottom w:val="none" w:sz="0" w:space="0" w:color="auto"/>
        <w:right w:val="none" w:sz="0" w:space="0" w:color="auto"/>
      </w:divBdr>
      <w:divsChild>
        <w:div w:id="1446921016">
          <w:marLeft w:val="0"/>
          <w:marRight w:val="0"/>
          <w:marTop w:val="0"/>
          <w:marBottom w:val="0"/>
          <w:divBdr>
            <w:top w:val="none" w:sz="0" w:space="0" w:color="auto"/>
            <w:left w:val="none" w:sz="0" w:space="0" w:color="auto"/>
            <w:bottom w:val="none" w:sz="0" w:space="0" w:color="auto"/>
            <w:right w:val="none" w:sz="0" w:space="0" w:color="auto"/>
          </w:divBdr>
        </w:div>
      </w:divsChild>
    </w:div>
    <w:div w:id="1358509532">
      <w:bodyDiv w:val="1"/>
      <w:marLeft w:val="0"/>
      <w:marRight w:val="0"/>
      <w:marTop w:val="0"/>
      <w:marBottom w:val="0"/>
      <w:divBdr>
        <w:top w:val="none" w:sz="0" w:space="0" w:color="auto"/>
        <w:left w:val="none" w:sz="0" w:space="0" w:color="auto"/>
        <w:bottom w:val="none" w:sz="0" w:space="0" w:color="auto"/>
        <w:right w:val="none" w:sz="0" w:space="0" w:color="auto"/>
      </w:divBdr>
    </w:div>
    <w:div w:id="1857037535">
      <w:bodyDiv w:val="1"/>
      <w:marLeft w:val="0"/>
      <w:marRight w:val="0"/>
      <w:marTop w:val="0"/>
      <w:marBottom w:val="0"/>
      <w:divBdr>
        <w:top w:val="none" w:sz="0" w:space="0" w:color="auto"/>
        <w:left w:val="none" w:sz="0" w:space="0" w:color="auto"/>
        <w:bottom w:val="none" w:sz="0" w:space="0" w:color="auto"/>
        <w:right w:val="none" w:sz="0" w:space="0" w:color="auto"/>
      </w:divBdr>
      <w:divsChild>
        <w:div w:id="1468814013">
          <w:marLeft w:val="0"/>
          <w:marRight w:val="0"/>
          <w:marTop w:val="0"/>
          <w:marBottom w:val="0"/>
          <w:divBdr>
            <w:top w:val="none" w:sz="0" w:space="0" w:color="auto"/>
            <w:left w:val="none" w:sz="0" w:space="0" w:color="auto"/>
            <w:bottom w:val="none" w:sz="0" w:space="0" w:color="auto"/>
            <w:right w:val="none" w:sz="0" w:space="0" w:color="auto"/>
          </w:divBdr>
        </w:div>
        <w:div w:id="847140335">
          <w:marLeft w:val="0"/>
          <w:marRight w:val="0"/>
          <w:marTop w:val="0"/>
          <w:marBottom w:val="0"/>
          <w:divBdr>
            <w:top w:val="none" w:sz="0" w:space="0" w:color="auto"/>
            <w:left w:val="none" w:sz="0" w:space="0" w:color="auto"/>
            <w:bottom w:val="none" w:sz="0" w:space="0" w:color="auto"/>
            <w:right w:val="none" w:sz="0" w:space="0" w:color="auto"/>
          </w:divBdr>
        </w:div>
        <w:div w:id="1642422135">
          <w:marLeft w:val="0"/>
          <w:marRight w:val="0"/>
          <w:marTop w:val="0"/>
          <w:marBottom w:val="0"/>
          <w:divBdr>
            <w:top w:val="none" w:sz="0" w:space="0" w:color="auto"/>
            <w:left w:val="none" w:sz="0" w:space="0" w:color="auto"/>
            <w:bottom w:val="none" w:sz="0" w:space="0" w:color="auto"/>
            <w:right w:val="none" w:sz="0" w:space="0" w:color="auto"/>
          </w:divBdr>
        </w:div>
        <w:div w:id="87503923">
          <w:marLeft w:val="0"/>
          <w:marRight w:val="0"/>
          <w:marTop w:val="0"/>
          <w:marBottom w:val="0"/>
          <w:divBdr>
            <w:top w:val="none" w:sz="0" w:space="0" w:color="auto"/>
            <w:left w:val="none" w:sz="0" w:space="0" w:color="auto"/>
            <w:bottom w:val="none" w:sz="0" w:space="0" w:color="auto"/>
            <w:right w:val="none" w:sz="0" w:space="0" w:color="auto"/>
          </w:divBdr>
        </w:div>
        <w:div w:id="426929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atatracker.ietf.org/doc/html/rfc6376" TargetMode="External"/><Relationship Id="rId2" Type="http://schemas.openxmlformats.org/officeDocument/2006/relationships/hyperlink" Target="https://datatracker.ietf.org/doc/html/rfc7489" TargetMode="External"/><Relationship Id="rId1" Type="http://schemas.openxmlformats.org/officeDocument/2006/relationships/hyperlink" Target="https://incydent.cert.pl/" TargetMode="External"/><Relationship Id="rId6" Type="http://schemas.openxmlformats.org/officeDocument/2006/relationships/hyperlink" Target="https://www.ncsc.gov.uk/collection/email-security-and-anti-spoofing/configure-anti-spoofing-controls-" TargetMode="External"/><Relationship Id="rId5" Type="http://schemas.openxmlformats.org/officeDocument/2006/relationships/hyperlink" Target="https://dmarc.org/resources/articles-tutorials-and-videos/" TargetMode="External"/><Relationship Id="rId4" Type="http://schemas.openxmlformats.org/officeDocument/2006/relationships/hyperlink" Target="https://datatracker.ietf.org/doc/html/rfc720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bf41241-5b92-4058-8568-013744b84d7f">
      <UserInfo>
        <DisplayName>Cieszyński Janusz</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02A25-4DD9-48B1-8FE7-AD8110D0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6BE5F0-7DEB-4D3E-9C9D-2362E8C9830C}">
  <ds:schemaRefs>
    <ds:schemaRef ds:uri="http://schemas.microsoft.com/office/2006/metadata/properties"/>
    <ds:schemaRef ds:uri="http://schemas.microsoft.com/office/infopath/2007/PartnerControls"/>
    <ds:schemaRef ds:uri="0bf41241-5b92-4058-8568-013744b84d7f"/>
  </ds:schemaRefs>
</ds:datastoreItem>
</file>

<file path=customXml/itemProps3.xml><?xml version="1.0" encoding="utf-8"?>
<ds:datastoreItem xmlns:ds="http://schemas.openxmlformats.org/officeDocument/2006/customXml" ds:itemID="{9818CA34-D71B-4F02-9D92-B1058FC21FC1}">
  <ds:schemaRefs>
    <ds:schemaRef ds:uri="http://schemas.microsoft.com/sharepoint/v3/contenttype/forms"/>
  </ds:schemaRefs>
</ds:datastoreItem>
</file>

<file path=customXml/itemProps4.xml><?xml version="1.0" encoding="utf-8"?>
<ds:datastoreItem xmlns:ds="http://schemas.openxmlformats.org/officeDocument/2006/customXml" ds:itemID="{57682035-4912-4332-A485-B93D4F43B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15145</Words>
  <Characters>90871</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Przybylski Przemysław</dc:creator>
  <cp:keywords/>
  <dc:description/>
  <cp:lastModifiedBy>Sadowska Agnieszka</cp:lastModifiedBy>
  <cp:revision>3</cp:revision>
  <dcterms:created xsi:type="dcterms:W3CDTF">2022-10-07T12:25:00Z</dcterms:created>
  <dcterms:modified xsi:type="dcterms:W3CDTF">2022-10-07T12:25:00Z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